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FB" w:rsidRDefault="007218FF">
      <w:pPr>
        <w:pStyle w:val="BodyText"/>
        <w:ind w:left="0"/>
        <w:rPr>
          <w:rFonts w:ascii="Times New Roman"/>
        </w:rPr>
      </w:pPr>
      <w:r>
        <w:rPr>
          <w:rFonts w:ascii="Times New Roman"/>
          <w:noProof/>
          <w:lang w:eastAsia="ro-RO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1270</wp:posOffset>
            </wp:positionH>
            <wp:positionV relativeFrom="page">
              <wp:posOffset>0</wp:posOffset>
            </wp:positionV>
            <wp:extent cx="7559293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293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0EFB" w:rsidRDefault="00C90EFB">
      <w:pPr>
        <w:pStyle w:val="BodyText"/>
        <w:ind w:left="0"/>
        <w:rPr>
          <w:rFonts w:ascii="Times New Roman"/>
        </w:rPr>
      </w:pPr>
    </w:p>
    <w:p w:rsidR="00C90EFB" w:rsidRDefault="00C90EFB">
      <w:pPr>
        <w:pStyle w:val="BodyText"/>
        <w:ind w:left="0"/>
        <w:rPr>
          <w:rFonts w:ascii="Times New Roman"/>
        </w:rPr>
      </w:pPr>
    </w:p>
    <w:p w:rsidR="00C90EFB" w:rsidRDefault="00C90EFB">
      <w:pPr>
        <w:pStyle w:val="BodyText"/>
        <w:spacing w:before="126"/>
        <w:ind w:left="0"/>
        <w:rPr>
          <w:rFonts w:ascii="Times New Roman"/>
        </w:rPr>
      </w:pPr>
    </w:p>
    <w:p w:rsidR="00C90EFB" w:rsidRDefault="007218FF">
      <w:pPr>
        <w:pStyle w:val="BodyText"/>
        <w:jc w:val="both"/>
      </w:pPr>
      <w:r>
        <w:t>26</w:t>
      </w:r>
      <w:bookmarkStart w:id="0" w:name="_GoBack"/>
      <w:bookmarkEnd w:id="0"/>
      <w:r>
        <w:rPr>
          <w:spacing w:val="-6"/>
        </w:rPr>
        <w:t xml:space="preserve"> </w:t>
      </w:r>
      <w:r>
        <w:t>septembrie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:rsidR="00C90EFB" w:rsidRDefault="007218FF">
      <w:pPr>
        <w:pStyle w:val="Heading1"/>
        <w:ind w:left="513"/>
      </w:pPr>
      <w:r>
        <w:t>2171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candidați</w:t>
      </w:r>
      <w:r>
        <w:rPr>
          <w:spacing w:val="-1"/>
        </w:rPr>
        <w:t xml:space="preserve"> </w:t>
      </w:r>
      <w:r>
        <w:t>admişi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Concursul</w:t>
      </w:r>
      <w:r>
        <w:rPr>
          <w:spacing w:val="-2"/>
        </w:rPr>
        <w:t xml:space="preserve"> </w:t>
      </w:r>
      <w:r>
        <w:t>național</w:t>
      </w:r>
      <w:r>
        <w:rPr>
          <w:spacing w:val="-4"/>
        </w:rPr>
        <w:t xml:space="preserve"> </w:t>
      </w:r>
      <w:r>
        <w:t>organizat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rPr>
          <w:spacing w:val="-4"/>
        </w:rPr>
        <w:t>ANFP</w:t>
      </w:r>
    </w:p>
    <w:p w:rsidR="00C90EFB" w:rsidRDefault="007218FF">
      <w:pPr>
        <w:pStyle w:val="BodyText"/>
        <w:spacing w:before="160"/>
        <w:ind w:right="160"/>
        <w:jc w:val="both"/>
      </w:pPr>
      <w:r>
        <w:t>Agenția Națională a Funcționarilor Publici (ANFP) anunță publicarea rapoartelor finale</w:t>
      </w:r>
      <w:r>
        <w:rPr>
          <w:spacing w:val="-19"/>
        </w:rPr>
        <w:t xml:space="preserve"> </w:t>
      </w:r>
      <w:r>
        <w:t>aferente</w:t>
      </w:r>
      <w:r>
        <w:rPr>
          <w:spacing w:val="-18"/>
        </w:rPr>
        <w:t xml:space="preserve"> </w:t>
      </w:r>
      <w:r>
        <w:t>primelor</w:t>
      </w:r>
      <w:r>
        <w:rPr>
          <w:spacing w:val="-18"/>
        </w:rPr>
        <w:t xml:space="preserve"> </w:t>
      </w:r>
      <w:r>
        <w:t>două</w:t>
      </w:r>
      <w:r>
        <w:rPr>
          <w:spacing w:val="-18"/>
        </w:rPr>
        <w:t xml:space="preserve"> </w:t>
      </w:r>
      <w:r>
        <w:t>runde</w:t>
      </w:r>
      <w:r>
        <w:rPr>
          <w:spacing w:val="-18"/>
        </w:rPr>
        <w:t xml:space="preserve"> </w:t>
      </w:r>
      <w:r>
        <w:t>ale</w:t>
      </w:r>
      <w:r>
        <w:rPr>
          <w:spacing w:val="-18"/>
        </w:rPr>
        <w:t xml:space="preserve"> </w:t>
      </w:r>
      <w:r>
        <w:t>Concursului</w:t>
      </w:r>
      <w:r>
        <w:rPr>
          <w:spacing w:val="-18"/>
        </w:rPr>
        <w:t xml:space="preserve"> </w:t>
      </w:r>
      <w:r>
        <w:t>național,</w:t>
      </w:r>
      <w:r>
        <w:rPr>
          <w:spacing w:val="-18"/>
        </w:rPr>
        <w:t xml:space="preserve"> </w:t>
      </w:r>
      <w:r>
        <w:t>derulat</w:t>
      </w:r>
      <w:r>
        <w:rPr>
          <w:spacing w:val="-18"/>
        </w:rPr>
        <w:t xml:space="preserve"> </w:t>
      </w:r>
      <w:r>
        <w:t>în</w:t>
      </w:r>
      <w:r>
        <w:rPr>
          <w:spacing w:val="-18"/>
        </w:rPr>
        <w:t xml:space="preserve"> </w:t>
      </w:r>
      <w:r>
        <w:t>2025,</w:t>
      </w:r>
      <w:r>
        <w:rPr>
          <w:spacing w:val="-18"/>
        </w:rPr>
        <w:t xml:space="preserve"> </w:t>
      </w:r>
      <w:r>
        <w:t>pentru atingerea</w:t>
      </w:r>
      <w:r>
        <w:rPr>
          <w:spacing w:val="-12"/>
        </w:rPr>
        <w:t xml:space="preserve"> </w:t>
      </w:r>
      <w:r>
        <w:t>Jalonului</w:t>
      </w:r>
      <w:r>
        <w:rPr>
          <w:spacing w:val="-11"/>
        </w:rPr>
        <w:t xml:space="preserve"> </w:t>
      </w:r>
      <w:r>
        <w:t>417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Finalizarea</w:t>
      </w:r>
      <w:r>
        <w:rPr>
          <w:spacing w:val="-12"/>
        </w:rPr>
        <w:t xml:space="preserve"> </w:t>
      </w:r>
      <w:r>
        <w:t>anuală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cel</w:t>
      </w:r>
      <w:r>
        <w:rPr>
          <w:spacing w:val="-14"/>
        </w:rPr>
        <w:t xml:space="preserve"> </w:t>
      </w:r>
      <w:r>
        <w:t>puțin</w:t>
      </w:r>
      <w:r>
        <w:rPr>
          <w:spacing w:val="-12"/>
        </w:rPr>
        <w:t xml:space="preserve"> </w:t>
      </w:r>
      <w:r>
        <w:t>două</w:t>
      </w:r>
      <w:r>
        <w:rPr>
          <w:spacing w:val="-12"/>
        </w:rPr>
        <w:t xml:space="preserve"> </w:t>
      </w:r>
      <w:r>
        <w:t>concursuri</w:t>
      </w:r>
      <w:r>
        <w:rPr>
          <w:spacing w:val="-11"/>
        </w:rPr>
        <w:t xml:space="preserve"> </w:t>
      </w:r>
      <w:r>
        <w:t>naționale</w:t>
      </w:r>
      <w:r>
        <w:rPr>
          <w:spacing w:val="-12"/>
        </w:rPr>
        <w:t xml:space="preserve"> </w:t>
      </w:r>
      <w:r>
        <w:t xml:space="preserve">de recrutare a funcționarilor publici pentru cel puțin 3 categorii/ grade de funcții </w:t>
      </w:r>
      <w:r>
        <w:rPr>
          <w:spacing w:val="-2"/>
        </w:rPr>
        <w:t>publice.</w:t>
      </w:r>
    </w:p>
    <w:p w:rsidR="00C90EFB" w:rsidRDefault="007218FF">
      <w:pPr>
        <w:spacing w:before="160"/>
        <w:ind w:left="23"/>
        <w:jc w:val="both"/>
        <w:rPr>
          <w:b/>
          <w:sz w:val="24"/>
        </w:rPr>
      </w:pPr>
      <w:r>
        <w:rPr>
          <w:b/>
          <w:sz w:val="24"/>
          <w:u w:val="single"/>
        </w:rPr>
        <w:t>Runda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I</w:t>
      </w:r>
    </w:p>
    <w:p w:rsidR="00C90EFB" w:rsidRDefault="007218FF">
      <w:pPr>
        <w:pStyle w:val="Heading1"/>
        <w:spacing w:line="279" w:lineRule="exact"/>
        <w:rPr>
          <w:b w:val="0"/>
        </w:rPr>
      </w:pPr>
      <w:r>
        <w:t>Număr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candidați</w:t>
      </w:r>
      <w:r>
        <w:rPr>
          <w:spacing w:val="-3"/>
        </w:rPr>
        <w:t xml:space="preserve"> </w:t>
      </w:r>
      <w:r>
        <w:t xml:space="preserve">înscrişi: </w:t>
      </w:r>
      <w:r>
        <w:rPr>
          <w:b w:val="0"/>
          <w:spacing w:val="-4"/>
        </w:rPr>
        <w:t>2539</w:t>
      </w:r>
    </w:p>
    <w:p w:rsidR="00C90EFB" w:rsidRDefault="007218FF">
      <w:pPr>
        <w:pStyle w:val="BodyText"/>
        <w:ind w:right="2518"/>
      </w:pPr>
      <w:r>
        <w:rPr>
          <w:color w:val="000000"/>
          <w:shd w:val="clear" w:color="auto" w:fill="FFFFFF"/>
        </w:rPr>
        <w:t>1389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funcții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publice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execuție,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grad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profesional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debutant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700 – funcții publice de execuție, grad profesional superior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265 – funcții publice de conducere, șef serviciu</w:t>
      </w:r>
    </w:p>
    <w:p w:rsidR="00C90EFB" w:rsidRDefault="007218FF">
      <w:pPr>
        <w:pStyle w:val="BodyText"/>
        <w:spacing w:before="1"/>
      </w:pPr>
      <w:r>
        <w:rPr>
          <w:color w:val="000000"/>
          <w:shd w:val="clear" w:color="auto" w:fill="FFFFFF"/>
        </w:rPr>
        <w:t>185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funcții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publice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conducere,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director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executiv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ș</w:t>
      </w:r>
      <w:r>
        <w:rPr>
          <w:color w:val="000000"/>
          <w:shd w:val="clear" w:color="auto" w:fill="FFFFFF"/>
        </w:rPr>
        <w:t>i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director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executiv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adjunct</w:t>
      </w:r>
    </w:p>
    <w:p w:rsidR="00C90EFB" w:rsidRDefault="007218FF">
      <w:pPr>
        <w:spacing w:before="278"/>
        <w:ind w:left="23" w:right="1612"/>
        <w:rPr>
          <w:sz w:val="24"/>
        </w:rPr>
      </w:pPr>
      <w:r>
        <w:rPr>
          <w:b/>
          <w:color w:val="000000"/>
          <w:sz w:val="24"/>
          <w:shd w:val="clear" w:color="auto" w:fill="FFFFFF"/>
        </w:rPr>
        <w:t>Număr</w:t>
      </w:r>
      <w:r>
        <w:rPr>
          <w:b/>
          <w:color w:val="000000"/>
          <w:spacing w:val="-5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de</w:t>
      </w:r>
      <w:r>
        <w:rPr>
          <w:b/>
          <w:color w:val="000000"/>
          <w:spacing w:val="-5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candidați</w:t>
      </w:r>
      <w:r>
        <w:rPr>
          <w:b/>
          <w:color w:val="000000"/>
          <w:spacing w:val="-5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admişi:</w:t>
      </w:r>
      <w:r>
        <w:rPr>
          <w:b/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1866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(73,5%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din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totalul</w:t>
      </w:r>
      <w:r>
        <w:rPr>
          <w:color w:val="000000"/>
          <w:spacing w:val="-6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celor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înscriși)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1138 – funcții publice de execuție, grad profesional debutant</w:t>
      </w:r>
    </w:p>
    <w:p w:rsidR="00C90EFB" w:rsidRDefault="007218FF">
      <w:pPr>
        <w:pStyle w:val="BodyText"/>
        <w:ind w:right="2518"/>
      </w:pPr>
      <w:r>
        <w:rPr>
          <w:color w:val="000000"/>
          <w:shd w:val="clear" w:color="auto" w:fill="FFFFFF"/>
        </w:rPr>
        <w:t>415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funcții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publice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execuție,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grad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profesional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superior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175 – funcții publice de conducere, șef serviciu</w:t>
      </w:r>
    </w:p>
    <w:p w:rsidR="00C90EFB" w:rsidRDefault="007218FF">
      <w:pPr>
        <w:pStyle w:val="BodyText"/>
        <w:spacing w:line="278" w:lineRule="exact"/>
      </w:pPr>
      <w:r>
        <w:rPr>
          <w:color w:val="000000"/>
          <w:shd w:val="clear" w:color="auto" w:fill="FFFFFF"/>
        </w:rPr>
        <w:t>138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funcții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publice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conducere,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director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executiv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ș</w:t>
      </w:r>
      <w:r>
        <w:rPr>
          <w:color w:val="000000"/>
          <w:shd w:val="clear" w:color="auto" w:fill="FFFFFF"/>
        </w:rPr>
        <w:t>i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director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executiv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adjunct</w:t>
      </w:r>
    </w:p>
    <w:p w:rsidR="00C90EFB" w:rsidRDefault="00C90EFB">
      <w:pPr>
        <w:pStyle w:val="BodyText"/>
        <w:spacing w:before="160"/>
        <w:ind w:left="0"/>
      </w:pPr>
    </w:p>
    <w:p w:rsidR="00C90EFB" w:rsidRDefault="007218FF">
      <w:pPr>
        <w:ind w:left="23"/>
        <w:rPr>
          <w:b/>
          <w:sz w:val="24"/>
        </w:rPr>
      </w:pPr>
      <w:r>
        <w:rPr>
          <w:b/>
          <w:sz w:val="24"/>
          <w:u w:val="single"/>
        </w:rPr>
        <w:t>Runda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II</w:t>
      </w:r>
    </w:p>
    <w:p w:rsidR="00C90EFB" w:rsidRDefault="007218FF">
      <w:pPr>
        <w:pStyle w:val="Heading1"/>
        <w:spacing w:line="279" w:lineRule="exact"/>
        <w:rPr>
          <w:b w:val="0"/>
        </w:rPr>
      </w:pPr>
      <w:r>
        <w:rPr>
          <w:color w:val="000000"/>
          <w:shd w:val="clear" w:color="auto" w:fill="FFFFFF"/>
        </w:rPr>
        <w:t>Număr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candidați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înscrişi: </w:t>
      </w:r>
      <w:r>
        <w:rPr>
          <w:b w:val="0"/>
          <w:color w:val="000000"/>
          <w:spacing w:val="-4"/>
          <w:shd w:val="clear" w:color="auto" w:fill="FFFFFF"/>
        </w:rPr>
        <w:t>1066</w:t>
      </w:r>
    </w:p>
    <w:p w:rsidR="00C90EFB" w:rsidRDefault="007218FF">
      <w:pPr>
        <w:pStyle w:val="BodyText"/>
        <w:spacing w:line="278" w:lineRule="exact"/>
      </w:pPr>
      <w:r>
        <w:rPr>
          <w:color w:val="000000"/>
          <w:shd w:val="clear" w:color="auto" w:fill="FFFFFF"/>
        </w:rPr>
        <w:t>717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funcții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publice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execuție,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grad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profesional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asistent</w:t>
      </w:r>
    </w:p>
    <w:p w:rsidR="00C90EFB" w:rsidRDefault="007218FF">
      <w:pPr>
        <w:pStyle w:val="BodyText"/>
        <w:spacing w:line="278" w:lineRule="exact"/>
      </w:pPr>
      <w:r>
        <w:rPr>
          <w:color w:val="000000"/>
          <w:shd w:val="clear" w:color="auto" w:fill="FFFFFF"/>
        </w:rPr>
        <w:t>204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funcții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publice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conducere,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director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ș</w:t>
      </w:r>
      <w:r>
        <w:rPr>
          <w:color w:val="000000"/>
          <w:shd w:val="clear" w:color="auto" w:fill="FFFFFF"/>
        </w:rPr>
        <w:t>i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director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adjunct</w:t>
      </w:r>
    </w:p>
    <w:p w:rsidR="00C90EFB" w:rsidRDefault="007218FF">
      <w:pPr>
        <w:pStyle w:val="BodyText"/>
      </w:pPr>
      <w:r>
        <w:rPr>
          <w:color w:val="000000"/>
          <w:shd w:val="clear" w:color="auto" w:fill="FFFFFF"/>
        </w:rPr>
        <w:t>145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funcții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publice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conducere,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director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general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ș</w:t>
      </w:r>
      <w:r>
        <w:rPr>
          <w:color w:val="000000"/>
          <w:shd w:val="clear" w:color="auto" w:fill="FFFFFF"/>
        </w:rPr>
        <w:t>i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director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general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adjunct</w:t>
      </w:r>
    </w:p>
    <w:p w:rsidR="00C90EFB" w:rsidRDefault="007218FF">
      <w:pPr>
        <w:pStyle w:val="Heading1"/>
        <w:spacing w:before="278"/>
      </w:pPr>
      <w:r>
        <w:rPr>
          <w:color w:val="000000"/>
          <w:shd w:val="clear" w:color="auto" w:fill="FFFFFF"/>
        </w:rPr>
        <w:t>Număr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candidați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admişi: </w:t>
      </w:r>
      <w:r>
        <w:rPr>
          <w:b w:val="0"/>
          <w:color w:val="000000"/>
          <w:shd w:val="clear" w:color="auto" w:fill="FFFFFF"/>
        </w:rPr>
        <w:t>305</w:t>
      </w:r>
      <w:r>
        <w:rPr>
          <w:b w:val="0"/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(28.6 %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din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totalul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celor</w:t>
      </w:r>
      <w:r>
        <w:rPr>
          <w:color w:val="000000"/>
          <w:spacing w:val="-2"/>
          <w:shd w:val="clear" w:color="auto" w:fill="FFFFFF"/>
        </w:rPr>
        <w:t xml:space="preserve"> înscrişi)</w:t>
      </w:r>
    </w:p>
    <w:p w:rsidR="00C90EFB" w:rsidRDefault="007218FF">
      <w:pPr>
        <w:pStyle w:val="BodyText"/>
        <w:spacing w:before="2" w:line="279" w:lineRule="exact"/>
      </w:pPr>
      <w:r>
        <w:rPr>
          <w:color w:val="000000"/>
          <w:shd w:val="clear" w:color="auto" w:fill="FFFFFF"/>
        </w:rPr>
        <w:t>208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funcții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publice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execuție,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grad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profesional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asistent</w:t>
      </w:r>
    </w:p>
    <w:p w:rsidR="00C90EFB" w:rsidRDefault="007218FF">
      <w:pPr>
        <w:pStyle w:val="BodyText"/>
        <w:spacing w:line="278" w:lineRule="exact"/>
      </w:pPr>
      <w:r>
        <w:rPr>
          <w:color w:val="000000"/>
          <w:shd w:val="clear" w:color="auto" w:fill="FFFFFF"/>
        </w:rPr>
        <w:t>71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funcții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publice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conducere,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director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ș</w:t>
      </w:r>
      <w:r>
        <w:rPr>
          <w:color w:val="000000"/>
          <w:shd w:val="clear" w:color="auto" w:fill="FFFFFF"/>
        </w:rPr>
        <w:t>i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director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adjunct</w:t>
      </w:r>
    </w:p>
    <w:p w:rsidR="00C90EFB" w:rsidRDefault="007218FF">
      <w:pPr>
        <w:pStyle w:val="BodyText"/>
      </w:pPr>
      <w:r>
        <w:rPr>
          <w:color w:val="000000"/>
          <w:shd w:val="clear" w:color="auto" w:fill="FFFFFF"/>
        </w:rPr>
        <w:t>26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–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funcții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publice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conducere,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director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general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ș</w:t>
      </w:r>
      <w:r>
        <w:rPr>
          <w:color w:val="000000"/>
          <w:shd w:val="clear" w:color="auto" w:fill="FFFFFF"/>
        </w:rPr>
        <w:t>i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director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general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adjunct</w:t>
      </w:r>
    </w:p>
    <w:p w:rsidR="00C90EFB" w:rsidRDefault="00C90EFB">
      <w:pPr>
        <w:pStyle w:val="BodyText"/>
        <w:spacing w:before="161"/>
        <w:ind w:left="0"/>
      </w:pPr>
    </w:p>
    <w:p w:rsidR="00C90EFB" w:rsidRDefault="007218FF">
      <w:pPr>
        <w:pStyle w:val="BodyText"/>
        <w:ind w:right="163"/>
        <w:jc w:val="both"/>
        <w:rPr>
          <w:rFonts w:ascii="Calibri" w:hAnsi="Calibri"/>
          <w:sz w:val="22"/>
        </w:rPr>
      </w:pPr>
      <w:r>
        <w:rPr>
          <w:color w:val="000000"/>
          <w:shd w:val="clear" w:color="auto" w:fill="FFFFFF"/>
        </w:rPr>
        <w:t>După promovarea concursului național, cei 2307 candidați admiși pot participa la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etapa de selecție, organizată prin concurs pe post, direct de către instituțiile și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autoritățile publice care dispun d</w:t>
      </w:r>
      <w:r>
        <w:rPr>
          <w:color w:val="000000"/>
          <w:shd w:val="clear" w:color="auto" w:fill="FFFFFF"/>
        </w:rPr>
        <w:t>e funcții publice vacante conform planului de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recrutare pentru perioada 2025-2026:</w:t>
      </w:r>
      <w:r>
        <w:rPr>
          <w:color w:val="000000"/>
          <w:spacing w:val="40"/>
          <w:shd w:val="clear" w:color="auto" w:fill="FFFFFF"/>
        </w:rPr>
        <w:t xml:space="preserve"> </w:t>
      </w:r>
      <w:hyperlink r:id="rId6">
        <w:r>
          <w:rPr>
            <w:rFonts w:ascii="Calibri" w:hAnsi="Calibri"/>
            <w:color w:val="0462C1"/>
            <w:sz w:val="22"/>
            <w:u w:val="single" w:color="0462C1"/>
            <w:shd w:val="clear" w:color="auto" w:fill="FFFFFF"/>
          </w:rPr>
          <w:t>https://tinyurl.com/3pamj4u8</w:t>
        </w:r>
      </w:hyperlink>
    </w:p>
    <w:p w:rsidR="00C90EFB" w:rsidRDefault="007218FF">
      <w:pPr>
        <w:spacing w:before="158"/>
        <w:ind w:left="23" w:right="165"/>
        <w:jc w:val="both"/>
        <w:rPr>
          <w:rFonts w:ascii="Calibri" w:hAnsi="Calibri"/>
        </w:rPr>
      </w:pPr>
      <w:r>
        <w:rPr>
          <w:color w:val="000000"/>
          <w:sz w:val="24"/>
          <w:shd w:val="clear" w:color="auto" w:fill="FFFFFF"/>
        </w:rPr>
        <w:t>Înscrierile la concursurile pe post se realizează tot pe platforma informatică de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concurs: </w:t>
      </w:r>
      <w:hyperlink r:id="rId7">
        <w:r>
          <w:rPr>
            <w:rFonts w:ascii="Calibri" w:hAnsi="Calibri"/>
            <w:color w:val="0462C1"/>
            <w:u w:val="single" w:color="0462C1"/>
            <w:shd w:val="clear" w:color="auto" w:fill="FFFFFF"/>
          </w:rPr>
          <w:t>https://platforma-concurs-national.anfp.gov.ro/</w:t>
        </w:r>
      </w:hyperlink>
    </w:p>
    <w:p w:rsidR="00C90EFB" w:rsidRDefault="00C90EFB">
      <w:pPr>
        <w:jc w:val="both"/>
        <w:rPr>
          <w:rFonts w:ascii="Calibri" w:hAnsi="Calibri"/>
        </w:rPr>
        <w:sectPr w:rsidR="00C90EFB">
          <w:type w:val="continuous"/>
          <w:pgSz w:w="11910" w:h="16840"/>
          <w:pgMar w:top="1920" w:right="1275" w:bottom="280" w:left="1417" w:header="708" w:footer="708" w:gutter="0"/>
          <w:cols w:space="708"/>
        </w:sectPr>
      </w:pPr>
    </w:p>
    <w:p w:rsidR="00C90EFB" w:rsidRDefault="007218FF">
      <w:pPr>
        <w:pStyle w:val="BodyText"/>
        <w:ind w:left="0"/>
        <w:rPr>
          <w:rFonts w:ascii="Calibri"/>
        </w:rPr>
      </w:pPr>
      <w:r>
        <w:rPr>
          <w:rFonts w:ascii="Calibri"/>
          <w:noProof/>
          <w:lang w:eastAsia="ro-RO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1270</wp:posOffset>
            </wp:positionH>
            <wp:positionV relativeFrom="page">
              <wp:posOffset>0</wp:posOffset>
            </wp:positionV>
            <wp:extent cx="7559293" cy="106923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293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0EFB" w:rsidRDefault="00C90EFB">
      <w:pPr>
        <w:pStyle w:val="BodyText"/>
        <w:spacing w:before="169"/>
        <w:ind w:left="0"/>
        <w:rPr>
          <w:rFonts w:ascii="Calibri"/>
        </w:rPr>
      </w:pPr>
    </w:p>
    <w:p w:rsidR="00C90EFB" w:rsidRDefault="007218FF">
      <w:pPr>
        <w:pStyle w:val="BodyText"/>
        <w:ind w:right="169"/>
      </w:pPr>
      <w:r>
        <w:t>Rapoartele</w:t>
      </w:r>
      <w:r>
        <w:rPr>
          <w:spacing w:val="-5"/>
        </w:rPr>
        <w:t xml:space="preserve"> </w:t>
      </w:r>
      <w:r>
        <w:t>finale</w:t>
      </w:r>
      <w:r>
        <w:rPr>
          <w:spacing w:val="-6"/>
        </w:rPr>
        <w:t xml:space="preserve"> </w:t>
      </w:r>
      <w:r>
        <w:t>ale</w:t>
      </w:r>
      <w:r>
        <w:rPr>
          <w:spacing w:val="-6"/>
        </w:rPr>
        <w:t xml:space="preserve"> </w:t>
      </w:r>
      <w:r>
        <w:t>primelor</w:t>
      </w:r>
      <w:r>
        <w:rPr>
          <w:spacing w:val="-7"/>
        </w:rPr>
        <w:t xml:space="preserve"> </w:t>
      </w:r>
      <w:r>
        <w:t>două</w:t>
      </w:r>
      <w:r>
        <w:rPr>
          <w:spacing w:val="-6"/>
        </w:rPr>
        <w:t xml:space="preserve"> </w:t>
      </w:r>
      <w:r>
        <w:t>runde</w:t>
      </w:r>
      <w:r>
        <w:rPr>
          <w:spacing w:val="-6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concursului</w:t>
      </w:r>
      <w:r>
        <w:rPr>
          <w:spacing w:val="-4"/>
        </w:rPr>
        <w:t xml:space="preserve"> </w:t>
      </w:r>
      <w:proofErr w:type="spellStart"/>
      <w:r>
        <w:t>national</w:t>
      </w:r>
      <w:proofErr w:type="spellEnd"/>
      <w:r>
        <w:rPr>
          <w:spacing w:val="-6"/>
        </w:rPr>
        <w:t xml:space="preserve"> </w:t>
      </w:r>
      <w:r>
        <w:t>pot</w:t>
      </w:r>
      <w:r>
        <w:rPr>
          <w:spacing w:val="-6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 xml:space="preserve">consultate </w:t>
      </w:r>
      <w:r>
        <w:rPr>
          <w:spacing w:val="-2"/>
        </w:rPr>
        <w:t>aici:</w:t>
      </w:r>
    </w:p>
    <w:p w:rsidR="00C90EFB" w:rsidRDefault="007218FF">
      <w:pPr>
        <w:spacing w:before="158"/>
        <w:ind w:left="23"/>
        <w:rPr>
          <w:rFonts w:ascii="Calibri"/>
        </w:rPr>
      </w:pPr>
      <w:r>
        <w:rPr>
          <w:sz w:val="24"/>
        </w:rPr>
        <w:t>Runda</w:t>
      </w:r>
      <w:r>
        <w:rPr>
          <w:spacing w:val="-1"/>
          <w:sz w:val="24"/>
        </w:rPr>
        <w:t xml:space="preserve"> </w:t>
      </w:r>
      <w:r>
        <w:rPr>
          <w:sz w:val="24"/>
        </w:rPr>
        <w:t>I:</w:t>
      </w:r>
      <w:r>
        <w:rPr>
          <w:spacing w:val="-1"/>
          <w:sz w:val="24"/>
        </w:rPr>
        <w:t xml:space="preserve"> </w:t>
      </w:r>
      <w:hyperlink r:id="rId9">
        <w:r>
          <w:rPr>
            <w:rFonts w:ascii="Calibri"/>
            <w:color w:val="0462C1"/>
            <w:spacing w:val="-2"/>
            <w:u w:val="single" w:color="0462C1"/>
          </w:rPr>
          <w:t>https://tinyurl.com/5y967hwe</w:t>
        </w:r>
      </w:hyperlink>
    </w:p>
    <w:p w:rsidR="00C90EFB" w:rsidRDefault="007218FF">
      <w:pPr>
        <w:spacing w:before="1"/>
        <w:ind w:left="23"/>
        <w:rPr>
          <w:rFonts w:ascii="Calibri"/>
        </w:rPr>
      </w:pPr>
      <w:r>
        <w:rPr>
          <w:sz w:val="24"/>
        </w:rPr>
        <w:t>Runda II:</w:t>
      </w:r>
      <w:r>
        <w:rPr>
          <w:spacing w:val="70"/>
          <w:sz w:val="24"/>
        </w:rPr>
        <w:t xml:space="preserve"> </w:t>
      </w:r>
      <w:hyperlink r:id="rId10">
        <w:r>
          <w:rPr>
            <w:rFonts w:ascii="Calibri"/>
            <w:color w:val="0462C1"/>
            <w:spacing w:val="-2"/>
            <w:u w:val="single" w:color="0462C1"/>
          </w:rPr>
          <w:t>https://tinyurl.com/acccfwnb</w:t>
        </w:r>
      </w:hyperlink>
    </w:p>
    <w:p w:rsidR="00C90EFB" w:rsidRDefault="007218FF">
      <w:pPr>
        <w:pStyle w:val="BodyText"/>
        <w:spacing w:before="279"/>
        <w:ind w:right="162"/>
        <w:jc w:val="both"/>
      </w:pPr>
      <w:r>
        <w:t xml:space="preserve">Până la finalul anului 2025, </w:t>
      </w:r>
      <w:r>
        <w:rPr>
          <w:b/>
        </w:rPr>
        <w:t>ANFP va organiza încă două runde ale concursului național</w:t>
      </w:r>
      <w:r>
        <w:t>, pentru a acoperi toate categ</w:t>
      </w:r>
      <w:r>
        <w:t>oriile de funcții publice vacante incluse în planul de recrutare aferent perioadei menționate mai sus. Runda III este în desfășurare, cu proba de verificare a eligibilității.</w:t>
      </w:r>
    </w:p>
    <w:p w:rsidR="00C90EFB" w:rsidRDefault="007218FF">
      <w:pPr>
        <w:spacing w:before="161" w:line="278" w:lineRule="exact"/>
        <w:ind w:left="47"/>
        <w:rPr>
          <w:sz w:val="24"/>
        </w:rPr>
      </w:pPr>
      <w:r>
        <w:rPr>
          <w:spacing w:val="-5"/>
          <w:sz w:val="24"/>
        </w:rPr>
        <w:t>***</w:t>
      </w:r>
    </w:p>
    <w:p w:rsidR="00C90EFB" w:rsidRDefault="007218FF">
      <w:pPr>
        <w:ind w:left="47" w:right="27"/>
        <w:jc w:val="both"/>
        <w:rPr>
          <w:i/>
          <w:sz w:val="20"/>
        </w:rPr>
      </w:pPr>
      <w:r>
        <w:rPr>
          <w:i/>
          <w:sz w:val="20"/>
        </w:rPr>
        <w:t>Concursul național este o activitate în implementarea Jalonului 417 - Finalizarea anuală a cel puțin două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concursuri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naționale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recrutare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funcționarilor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publici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pentru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puțin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categorii/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grade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 funcții publice, Reforma 3 – Management performant a</w:t>
      </w:r>
      <w:r>
        <w:rPr>
          <w:i/>
          <w:sz w:val="20"/>
        </w:rPr>
        <w:t>l resurselor umane în sectorul public, Componenta C14. Buna guvernanță, din Planul Naţional de Redresare şi Rezilienţă (PNRR).</w:t>
      </w:r>
    </w:p>
    <w:p w:rsidR="00C90EFB" w:rsidRDefault="007218FF">
      <w:pPr>
        <w:ind w:left="47"/>
        <w:jc w:val="both"/>
        <w:rPr>
          <w:i/>
          <w:sz w:val="20"/>
        </w:rPr>
      </w:pPr>
      <w:r>
        <w:rPr>
          <w:i/>
          <w:sz w:val="20"/>
        </w:rPr>
        <w:t>Buget: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8.000.000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EURO</w:t>
      </w:r>
    </w:p>
    <w:p w:rsidR="00C90EFB" w:rsidRDefault="007218FF">
      <w:pPr>
        <w:ind w:left="47"/>
        <w:jc w:val="both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începerii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proiectului: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decembrie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2022</w:t>
      </w:r>
    </w:p>
    <w:p w:rsidR="00C90EFB" w:rsidRDefault="007218FF">
      <w:pPr>
        <w:ind w:left="47"/>
        <w:jc w:val="both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finalizării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proiectului: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iunie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2026</w:t>
      </w:r>
    </w:p>
    <w:p w:rsidR="00C90EFB" w:rsidRDefault="007218FF">
      <w:pPr>
        <w:spacing w:before="231"/>
        <w:ind w:left="47"/>
        <w:jc w:val="both"/>
        <w:rPr>
          <w:i/>
          <w:sz w:val="20"/>
        </w:rPr>
      </w:pPr>
      <w:r>
        <w:rPr>
          <w:i/>
          <w:sz w:val="20"/>
        </w:rPr>
        <w:t>Date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contact</w:t>
      </w:r>
    </w:p>
    <w:p w:rsidR="00C90EFB" w:rsidRDefault="007218FF">
      <w:pPr>
        <w:spacing w:before="1"/>
        <w:ind w:left="47" w:right="5757"/>
        <w:rPr>
          <w:i/>
          <w:sz w:val="20"/>
        </w:rPr>
      </w:pPr>
      <w:r>
        <w:rPr>
          <w:i/>
          <w:sz w:val="20"/>
        </w:rPr>
        <w:t>e-mail:</w:t>
      </w:r>
      <w:r>
        <w:rPr>
          <w:i/>
          <w:spacing w:val="-16"/>
          <w:sz w:val="20"/>
        </w:rPr>
        <w:t xml:space="preserve"> </w:t>
      </w:r>
      <w:hyperlink r:id="rId11">
        <w:r>
          <w:rPr>
            <w:i/>
            <w:sz w:val="20"/>
          </w:rPr>
          <w:t>concurs-national@anfp.gov.ro</w:t>
        </w:r>
      </w:hyperlink>
      <w:r>
        <w:rPr>
          <w:i/>
          <w:sz w:val="20"/>
        </w:rPr>
        <w:t xml:space="preserve"> telefon: 0374112758</w:t>
      </w:r>
    </w:p>
    <w:sectPr w:rsidR="00C90EFB">
      <w:pgSz w:w="11910" w:h="16840"/>
      <w:pgMar w:top="19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0EFB"/>
    <w:rsid w:val="007218FF"/>
    <w:rsid w:val="00C9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1"/>
    <w:qFormat/>
    <w:pPr>
      <w:spacing w:before="161"/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1"/>
    <w:qFormat/>
    <w:pPr>
      <w:spacing w:before="161"/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tforma-concurs-national.anfp.gov.ro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inyurl.com/3pamj4u8" TargetMode="External"/><Relationship Id="rId11" Type="http://schemas.openxmlformats.org/officeDocument/2006/relationships/hyperlink" Target="mailto:concurs-national@anfp.gov.ro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inyurl.com/acccfwn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5y967h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Covaci</dc:creator>
  <cp:lastModifiedBy>Gabriel Dumitru</cp:lastModifiedBy>
  <cp:revision>2</cp:revision>
  <dcterms:created xsi:type="dcterms:W3CDTF">2025-09-26T08:21:00Z</dcterms:created>
  <dcterms:modified xsi:type="dcterms:W3CDTF">2025-09-30T09:41:00Z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2021</vt:lpwstr>
  </property>
</Properties>
</file>