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A84E79">
            <w:pPr>
              <w:rPr>
                <w:rFonts w:ascii="Trebuchet MS" w:hAnsi="Trebuchet MS" w:cs="Courier New"/>
                <w:szCs w:val="28"/>
              </w:rPr>
            </w:pPr>
          </w:p>
        </w:tc>
      </w:tr>
    </w:tbl>
    <w:p w:rsidR="00A84E79" w:rsidRPr="00A84E79" w:rsidRDefault="00A84E79" w:rsidP="00A84E79">
      <w:pPr>
        <w:spacing w:after="160" w:line="259" w:lineRule="auto"/>
        <w:ind w:left="720" w:firstLine="720"/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     </w:t>
      </w:r>
      <w:bookmarkStart w:id="0" w:name="_GoBack"/>
      <w:bookmarkEnd w:id="0"/>
      <w:r w:rsidR="00A65949">
        <w:rPr>
          <w:rFonts w:ascii="Trebuchet MS" w:hAnsi="Trebuchet MS"/>
          <w:b/>
          <w:sz w:val="22"/>
          <w:szCs w:val="22"/>
          <w:lang w:val="fr-FR"/>
        </w:rPr>
        <w:t xml:space="preserve">GHID AL AVERTIZORULUI DE </w:t>
      </w:r>
      <w:r w:rsidRPr="00A84E79">
        <w:rPr>
          <w:rFonts w:ascii="Trebuchet MS" w:hAnsi="Trebuchet MS"/>
          <w:b/>
          <w:sz w:val="22"/>
          <w:szCs w:val="22"/>
          <w:lang w:val="fr-FR"/>
        </w:rPr>
        <w:t>INTEGRITATE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b/>
          <w:sz w:val="22"/>
          <w:szCs w:val="22"/>
          <w:lang w:val="fr-FR"/>
        </w:rPr>
      </w:pPr>
    </w:p>
    <w:p w:rsidR="00A84E79" w:rsidRPr="00A84E79" w:rsidRDefault="00A84E79" w:rsidP="00A84E79">
      <w:pPr>
        <w:numPr>
          <w:ilvl w:val="0"/>
          <w:numId w:val="49"/>
        </w:numPr>
        <w:spacing w:after="160" w:line="259" w:lineRule="auto"/>
        <w:contextualSpacing/>
        <w:jc w:val="both"/>
        <w:rPr>
          <w:rFonts w:ascii="Trebuchet MS" w:hAnsi="Trebuchet MS"/>
          <w:b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Avertizorul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public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legal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siguranță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pentru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reprezentat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Legea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nr.361/2022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protecţia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avertizorilor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public</w:t>
      </w:r>
      <w:r w:rsidRPr="00A84E79">
        <w:rPr>
          <w:rFonts w:ascii="Trebuchet MS" w:hAnsi="Trebuchet MS"/>
          <w:sz w:val="22"/>
          <w:szCs w:val="22"/>
          <w:lang w:val="en-US"/>
        </w:rPr>
        <w:t xml:space="preserve">, cu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modificările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completările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ulterioare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fizică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efectuează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o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divulgă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 xml:space="preserve">public 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informaţii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obţinute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context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profesional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. Conform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prevederilor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contextul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profesional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include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activităţi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profesionale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actuale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anterioare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orice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natură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remunerate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nu,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desfăşurate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autorităţilor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instituţiilor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altor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privat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baza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cărora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poate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obţine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poate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suferi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represalii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caz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acestora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asemenea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se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aplică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căror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raporturi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nu au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început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efectuează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intermediul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canalelor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interne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externe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divulgă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obţinute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timpul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procesului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recrutare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altor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negocieri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precontractuale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cazul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serviciu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încetat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dezvăluie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mod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anonim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Conform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prevederilor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informațiile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reprezintă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informații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inclusiv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suspiciuni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rezonabile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cu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efective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potenţiale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care s-au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produs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sunt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susceptibile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se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producă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autorităţilor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instituţiilor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altor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privat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lucrează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lucrat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cu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acesta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fost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contact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intermediul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activităţii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sale,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informaţiile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încercări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ascunde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astfel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.</w:t>
      </w:r>
    </w:p>
    <w:p w:rsidR="00A84E79" w:rsidRPr="00A84E79" w:rsidRDefault="00A84E79" w:rsidP="00A84E79">
      <w:pPr>
        <w:numPr>
          <w:ilvl w:val="0"/>
          <w:numId w:val="49"/>
        </w:numPr>
        <w:spacing w:after="160" w:line="259" w:lineRule="auto"/>
        <w:contextualSpacing/>
        <w:jc w:val="both"/>
        <w:rPr>
          <w:rFonts w:ascii="Trebuchet MS" w:hAnsi="Trebuchet MS"/>
          <w:b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Fapte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care pot face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obiectul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avertizărilor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public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Pot face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obiectul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avertizărilor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faptele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constau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într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-o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acţiune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inacţiune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constituie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nerespectări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dispoziţiilor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domenii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: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achiziţiile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serviciile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produsele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pieţele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financiare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prevenirea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spălării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banilor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finanţării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terorismului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siguranţa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conformitatea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produselor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siguranţa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transportului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protecţia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mediului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protecţia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radiologică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siguranţa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nucleară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siguranţa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alimentelor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hranei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pentru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animale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sănătatea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bunăstarea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animalelor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sănătatea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publică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protecţia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consumatorilor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lastRenderedPageBreak/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protecţia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vieţii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private,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datelor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caracter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personal,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securităţii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reţelelor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sistemelor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informatice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aduc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atingere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financiare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Uniunii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Europene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astfel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cum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acestea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sunt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menţionate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art. 325 din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Tratatul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funcţionarea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Uniunii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Europene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cum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sunt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detaliate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măsurile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relevante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Uniunii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Europene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piaţa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internă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menţionate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art. 26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alin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. (2) din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Tratatul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funcţionarea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Uniunii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Europene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inclusiv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normelor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Uniunii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Europene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materie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concurenţă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ajutoare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stat,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piaţa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internă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ceea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priveşte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actele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încalcă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normele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impozitarea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societăţilor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mecanismele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căror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scop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obţinerea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avantaj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fiscal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contravine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obiectului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scopului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dreptului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aplicabil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materie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impozitare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societăţilor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reprezintă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abateri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disciplinare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contravenţii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infracţiuni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contravin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obiectului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scopului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.</w:t>
      </w:r>
    </w:p>
    <w:p w:rsidR="00A84E79" w:rsidRPr="00A84E79" w:rsidRDefault="00A84E79" w:rsidP="00A84E79">
      <w:pPr>
        <w:numPr>
          <w:ilvl w:val="0"/>
          <w:numId w:val="49"/>
        </w:numPr>
        <w:spacing w:after="160" w:line="259" w:lineRule="auto"/>
        <w:contextualSpacing/>
        <w:jc w:val="both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Modalităţi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privind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ale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legii</w:t>
      </w:r>
      <w:proofErr w:type="spellEnd"/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comunicarea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orală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scrisă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informaţii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privire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faptă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reprezintă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o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se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efectuează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principal,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intermediul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canalelor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interne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existente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nivelul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autorităţilor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instituţiilor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privat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însă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care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efectuează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o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poate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alege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între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canalul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canalul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extern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.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poate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fi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anonimă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se face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scris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suport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hârtie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/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format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electronic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comunicare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liniile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telefonice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/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sisteme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mesagerie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vocală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întâlnire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față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față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cererea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externă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comunicarea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orală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scrisă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informații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realizată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canalele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externe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reprezentate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gramStart"/>
      <w:r w:rsidRPr="00A84E79">
        <w:rPr>
          <w:rFonts w:ascii="Trebuchet MS" w:hAnsi="Trebuchet MS"/>
          <w:sz w:val="22"/>
          <w:szCs w:val="22"/>
          <w:lang w:val="fr-FR"/>
        </w:rPr>
        <w:t xml:space="preserve">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autoritățile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prevăzute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lege.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             IV.      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Autoritățile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competente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să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primească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raportări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privind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ale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b/>
          <w:sz w:val="22"/>
          <w:szCs w:val="22"/>
          <w:lang w:val="fr-FR"/>
        </w:rPr>
        <w:t>: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a)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autoritățile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instituțiile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potrivit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dispozițiilor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speciale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primesc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soluționează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raportări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domeniul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competență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b)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Agenția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Națională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Integritate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c)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autorități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instituții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cărora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Agenția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Națională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Integritate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transmite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raportările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spre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competentă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soluționare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.</w:t>
      </w:r>
    </w:p>
    <w:p w:rsidR="00A84E79" w:rsidRPr="00A84E79" w:rsidRDefault="00A84E79" w:rsidP="00A84E79">
      <w:pPr>
        <w:numPr>
          <w:ilvl w:val="0"/>
          <w:numId w:val="49"/>
        </w:numPr>
        <w:spacing w:after="160" w:line="259" w:lineRule="auto"/>
        <w:contextualSpacing/>
        <w:jc w:val="both"/>
        <w:rPr>
          <w:rFonts w:ascii="Trebuchet MS" w:hAnsi="Trebuchet MS"/>
          <w:b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Conţinutul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raportării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încălcări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legii</w:t>
      </w:r>
      <w:proofErr w:type="spellEnd"/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Raportarea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cuprinde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cel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puţin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următoarele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: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numele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prenumele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datele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contact ale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contextul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profesional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au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fost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obţinute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informaţiile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vizată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dacă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este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cunoscută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descrierea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faptei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susceptibile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constituie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gramStart"/>
      <w:r w:rsidRPr="00A84E79">
        <w:rPr>
          <w:rFonts w:ascii="Trebuchet MS" w:hAnsi="Trebuchet MS"/>
          <w:sz w:val="22"/>
          <w:szCs w:val="22"/>
          <w:lang w:val="fr-FR"/>
        </w:rPr>
        <w:t>a</w:t>
      </w:r>
      <w:proofErr w:type="gram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unei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autorităţi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instituţii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oricărei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precum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drept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privat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probele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susţinerea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raportării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după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caz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data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semnătura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după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caz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lastRenderedPageBreak/>
        <w:t>Prin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excepţie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de la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prevederile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anterior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menționate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raportarea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care nu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cuprinde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numele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prenumele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datele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de contact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semnătura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public se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examinează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se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soluţionează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măsura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care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conţine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indicii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referitoare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i/>
          <w:sz w:val="22"/>
          <w:szCs w:val="22"/>
          <w:lang w:val="fr-FR"/>
        </w:rPr>
        <w:t xml:space="preserve"> ale </w:t>
      </w:r>
      <w:proofErr w:type="spellStart"/>
      <w:r w:rsidRPr="00A84E79">
        <w:rPr>
          <w:rFonts w:ascii="Trebuchet MS" w:hAnsi="Trebuchet MS"/>
          <w:i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.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aleg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se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adreseze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canalul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extern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pentru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o pot face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următoarele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modalități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:</w:t>
      </w:r>
    </w:p>
    <w:p w:rsidR="00A84E79" w:rsidRPr="00A84E79" w:rsidRDefault="00A84E79" w:rsidP="00A84E79">
      <w:pPr>
        <w:numPr>
          <w:ilvl w:val="0"/>
          <w:numId w:val="48"/>
        </w:numPr>
        <w:spacing w:after="160" w:line="259" w:lineRule="auto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e-mail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adresa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: avertizorintegritate.pnrr@anfp.gov.ro;</w:t>
      </w:r>
    </w:p>
    <w:p w:rsidR="00A84E79" w:rsidRDefault="00A84E79" w:rsidP="00A84E79">
      <w:pPr>
        <w:numPr>
          <w:ilvl w:val="0"/>
          <w:numId w:val="48"/>
        </w:numPr>
        <w:spacing w:after="160" w:line="259" w:lineRule="auto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intermediul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serviciilor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poștale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adresa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ANFP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Bulevardul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Mircea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Vodă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Nr. 44,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tronsonul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III,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intrarea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sectorul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3,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cod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poștal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030669, Bucureşti,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atenția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: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Comisiei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soluţionare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avertizărilor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integritate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Agenției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Naționale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Funcționarilor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ind w:left="720"/>
        <w:contextualSpacing/>
        <w:jc w:val="both"/>
        <w:rPr>
          <w:rFonts w:ascii="Trebuchet MS" w:hAnsi="Trebuchet MS"/>
          <w:sz w:val="22"/>
          <w:szCs w:val="22"/>
          <w:lang w:val="fr-FR"/>
        </w:rPr>
      </w:pPr>
    </w:p>
    <w:p w:rsidR="00A84E79" w:rsidRPr="00A84E79" w:rsidRDefault="00A84E79" w:rsidP="00A84E79">
      <w:pPr>
        <w:numPr>
          <w:ilvl w:val="0"/>
          <w:numId w:val="50"/>
        </w:numPr>
        <w:spacing w:after="160" w:line="259" w:lineRule="auto"/>
        <w:contextualSpacing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Cum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sunt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protejați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avertizorii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b/>
          <w:sz w:val="22"/>
          <w:szCs w:val="22"/>
          <w:lang w:val="en-US"/>
        </w:rPr>
        <w:t>integritate</w:t>
      </w:r>
      <w:proofErr w:type="spellEnd"/>
      <w:r w:rsidRPr="00A84E79">
        <w:rPr>
          <w:rFonts w:ascii="Trebuchet MS" w:hAnsi="Trebuchet MS"/>
          <w:b/>
          <w:sz w:val="22"/>
          <w:szCs w:val="22"/>
          <w:lang w:val="en-US"/>
        </w:rPr>
        <w:t>?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Potrivit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procedurii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operaționale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avertizorii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integritate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adoptate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Agenția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Națională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Integritate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persoanele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semnalează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faptele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corupție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mai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sus-menționate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beneficiază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protecţie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după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cum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urmează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: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en-US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avertizorii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public, care au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făcut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o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sesizare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convinși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fiind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realitatea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stării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fapt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fapta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constituie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o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încălcare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legii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beneficiază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prezumţia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bună-credinţă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până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proba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contrară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cererea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cercetat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disciplinar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urmare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unui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act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comisiile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disciplină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organisme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similare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autorităţilor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instituţiilor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companiilor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naționale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regiilor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autonome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național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local,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societăților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naționale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capital de stat, au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obligaţia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a invita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presa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un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reprezentant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sindicatului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asociaţiei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profesionale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.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Anunţul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se face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comunicat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pagina de Internet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autorităţii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instituţiei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publice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unităţii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bugetare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cel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puţin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3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zile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lucrătoare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înaintea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şedinţei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sub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sancţiunea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nulităţii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sancţiunii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disciplinare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aplicate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;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situaţia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cel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reclamat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avertizarea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este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şef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ierarhic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direct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indirect,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atribuţii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control,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inspecţie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evaluare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comisia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disciplină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organism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similar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va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asigura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protecţia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ascunzându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-i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identitatea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>.</w:t>
      </w:r>
    </w:p>
    <w:p w:rsidR="00A84E79" w:rsidRPr="00A84E79" w:rsidRDefault="00A84E79" w:rsidP="00A84E79">
      <w:pPr>
        <w:spacing w:after="160" w:line="259" w:lineRule="auto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măsurile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protecţie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măsurile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sprijin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măsurile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reparatorii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prevăzute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art.20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nr.361/2022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privind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protecţia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modificările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completările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ulterioare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se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aplică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atât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cât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:  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   a)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facilitatorilor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;  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   b)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terţe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au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legături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putea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sufere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represalii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într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-un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context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profesional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cum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fi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colegi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rude ale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acestuia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;  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   c)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persoanelor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juridice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deţinute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către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pentru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lucrează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care are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alte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tipuri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legături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într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-un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context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profesional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;  </w:t>
      </w:r>
    </w:p>
    <w:p w:rsidR="00A84E79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fr-FR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   d)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avertizorului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care,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mod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anonim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raportat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divulgat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public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informaţii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referitoare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încălcări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, dar este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ulterior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identificat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suferă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fr-FR"/>
        </w:rPr>
        <w:t>represalii</w:t>
      </w:r>
      <w:proofErr w:type="spellEnd"/>
      <w:r w:rsidRPr="00A84E79">
        <w:rPr>
          <w:rFonts w:ascii="Trebuchet MS" w:hAnsi="Trebuchet MS"/>
          <w:sz w:val="22"/>
          <w:szCs w:val="22"/>
          <w:lang w:val="fr-FR"/>
        </w:rPr>
        <w:t xml:space="preserve">;  </w:t>
      </w:r>
    </w:p>
    <w:p w:rsidR="00801FE0" w:rsidRPr="00A84E79" w:rsidRDefault="00A84E79" w:rsidP="00A84E79">
      <w:pPr>
        <w:spacing w:after="160" w:line="259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A84E79">
        <w:rPr>
          <w:rFonts w:ascii="Trebuchet MS" w:hAnsi="Trebuchet MS"/>
          <w:sz w:val="22"/>
          <w:szCs w:val="22"/>
          <w:lang w:val="fr-FR"/>
        </w:rPr>
        <w:t xml:space="preserve">   </w:t>
      </w:r>
      <w:r w:rsidRPr="00A84E79">
        <w:rPr>
          <w:rFonts w:ascii="Trebuchet MS" w:hAnsi="Trebuchet MS"/>
          <w:sz w:val="22"/>
          <w:szCs w:val="22"/>
          <w:lang w:val="en-US"/>
        </w:rPr>
        <w:t xml:space="preserve">e) </w:t>
      </w:r>
      <w:proofErr w:type="spellStart"/>
      <w:proofErr w:type="gramStart"/>
      <w:r w:rsidRPr="00A84E79">
        <w:rPr>
          <w:rFonts w:ascii="Trebuchet MS" w:hAnsi="Trebuchet MS"/>
          <w:sz w:val="22"/>
          <w:szCs w:val="22"/>
          <w:lang w:val="en-US"/>
        </w:rPr>
        <w:t>avertizorului</w:t>
      </w:r>
      <w:proofErr w:type="spellEnd"/>
      <w:proofErr w:type="gram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interes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public care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efectuează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raportări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către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instituţiile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organele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oficiile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agenţiile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competente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ale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Uniunii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A84E79">
        <w:rPr>
          <w:rFonts w:ascii="Trebuchet MS" w:hAnsi="Trebuchet MS"/>
          <w:sz w:val="22"/>
          <w:szCs w:val="22"/>
          <w:lang w:val="en-US"/>
        </w:rPr>
        <w:t>Europene</w:t>
      </w:r>
      <w:proofErr w:type="spellEnd"/>
      <w:r w:rsidRPr="00A84E79">
        <w:rPr>
          <w:rFonts w:ascii="Trebuchet MS" w:hAnsi="Trebuchet MS"/>
          <w:sz w:val="22"/>
          <w:szCs w:val="22"/>
          <w:lang w:val="en-US"/>
        </w:rPr>
        <w:t>.</w:t>
      </w:r>
    </w:p>
    <w:sectPr w:rsidR="00801FE0" w:rsidRPr="00A84E79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AB" w:rsidRDefault="00EC56AB">
      <w:r>
        <w:separator/>
      </w:r>
    </w:p>
  </w:endnote>
  <w:endnote w:type="continuationSeparator" w:id="0">
    <w:p w:rsidR="00EC56AB" w:rsidRDefault="00EC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65949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65949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928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6594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65949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655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AB" w:rsidRDefault="00EC56AB">
      <w:r>
        <w:separator/>
      </w:r>
    </w:p>
  </w:footnote>
  <w:footnote w:type="continuationSeparator" w:id="0">
    <w:p w:rsidR="00EC56AB" w:rsidRDefault="00EC5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C56A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D97C6D"/>
    <w:multiLevelType w:val="hybridMultilevel"/>
    <w:tmpl w:val="C3AE7426"/>
    <w:lvl w:ilvl="0" w:tplc="2C5078E0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3B1073"/>
    <w:multiLevelType w:val="hybridMultilevel"/>
    <w:tmpl w:val="50007B82"/>
    <w:lvl w:ilvl="0" w:tplc="3294C1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95C5E"/>
    <w:multiLevelType w:val="hybridMultilevel"/>
    <w:tmpl w:val="9E220EF8"/>
    <w:lvl w:ilvl="0" w:tplc="CA000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33"/>
  </w:num>
  <w:num w:numId="4">
    <w:abstractNumId w:val="10"/>
  </w:num>
  <w:num w:numId="5">
    <w:abstractNumId w:val="38"/>
  </w:num>
  <w:num w:numId="6">
    <w:abstractNumId w:val="4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2"/>
  </w:num>
  <w:num w:numId="19">
    <w:abstractNumId w:val="47"/>
  </w:num>
  <w:num w:numId="20">
    <w:abstractNumId w:val="17"/>
  </w:num>
  <w:num w:numId="21">
    <w:abstractNumId w:val="30"/>
  </w:num>
  <w:num w:numId="22">
    <w:abstractNumId w:val="48"/>
  </w:num>
  <w:num w:numId="23">
    <w:abstractNumId w:val="11"/>
  </w:num>
  <w:num w:numId="24">
    <w:abstractNumId w:val="28"/>
  </w:num>
  <w:num w:numId="25">
    <w:abstractNumId w:val="12"/>
  </w:num>
  <w:num w:numId="26">
    <w:abstractNumId w:val="43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5"/>
  </w:num>
  <w:num w:numId="45">
    <w:abstractNumId w:val="20"/>
  </w:num>
  <w:num w:numId="46">
    <w:abstractNumId w:val="22"/>
  </w:num>
  <w:num w:numId="47">
    <w:abstractNumId w:val="46"/>
  </w:num>
  <w:num w:numId="48">
    <w:abstractNumId w:val="39"/>
  </w:num>
  <w:num w:numId="49">
    <w:abstractNumId w:val="4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7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5949"/>
    <w:rsid w:val="00A751B3"/>
    <w:rsid w:val="00A80CC5"/>
    <w:rsid w:val="00A81E37"/>
    <w:rsid w:val="00A83D3B"/>
    <w:rsid w:val="00A84125"/>
    <w:rsid w:val="00A84E79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56AB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6B8CB895-D1FF-4241-AB40-FF3B3BF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2CF0-2DB3-4116-A62D-E681AF65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1371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Steluta Spataru</dc:creator>
  <cp:keywords/>
  <dc:description/>
  <cp:lastModifiedBy>Steluta Spataru</cp:lastModifiedBy>
  <cp:revision>2</cp:revision>
  <cp:lastPrinted>2019-10-07T12:15:00Z</cp:lastPrinted>
  <dcterms:created xsi:type="dcterms:W3CDTF">2025-06-02T11:00:00Z</dcterms:created>
  <dcterms:modified xsi:type="dcterms:W3CDTF">2025-06-02T11:06:00Z</dcterms:modified>
</cp:coreProperties>
</file>