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03A81" w:rsidRDefault="00FA535C" w:rsidP="001B36C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="00F87977">
        <w:rPr>
          <w:rFonts w:ascii="Trebuchet MS" w:hAnsi="Trebuchet MS"/>
        </w:rPr>
        <w:tab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482172" w:rsidRPr="009514A7" w:rsidRDefault="00482172" w:rsidP="00105342">
      <w:pPr>
        <w:widowControl w:val="0"/>
        <w:jc w:val="right"/>
        <w:rPr>
          <w:b/>
          <w:bCs/>
          <w:sz w:val="22"/>
          <w:szCs w:val="22"/>
        </w:rPr>
      </w:pPr>
      <w:r w:rsidRPr="009514A7">
        <w:rPr>
          <w:b/>
          <w:bCs/>
          <w:sz w:val="22"/>
          <w:szCs w:val="22"/>
        </w:rPr>
        <w:t xml:space="preserve">Anexa nr.  </w:t>
      </w:r>
      <w:r>
        <w:rPr>
          <w:b/>
          <w:bCs/>
          <w:sz w:val="22"/>
          <w:szCs w:val="22"/>
        </w:rPr>
        <w:t>5</w:t>
      </w:r>
    </w:p>
    <w:p w:rsidR="001B36C3" w:rsidRPr="009514A7" w:rsidRDefault="00C02530" w:rsidP="00105342">
      <w:pPr>
        <w:widowControl w:val="0"/>
        <w:jc w:val="right"/>
        <w:rPr>
          <w:sz w:val="22"/>
          <w:szCs w:val="22"/>
        </w:rPr>
      </w:pPr>
      <w:r>
        <w:rPr>
          <w:bCs/>
          <w:sz w:val="22"/>
          <w:szCs w:val="22"/>
        </w:rPr>
        <w:t>(</w:t>
      </w:r>
      <w:r w:rsidRPr="00105342">
        <w:rPr>
          <w:bCs/>
          <w:sz w:val="22"/>
          <w:szCs w:val="22"/>
        </w:rPr>
        <w:t xml:space="preserve">anexa </w:t>
      </w:r>
      <w:r w:rsidR="001B36C3" w:rsidRPr="00105342">
        <w:rPr>
          <w:bCs/>
          <w:sz w:val="22"/>
          <w:szCs w:val="22"/>
        </w:rPr>
        <w:t>nr. 13</w:t>
      </w:r>
      <w:r w:rsidR="001B36C3" w:rsidRPr="009514A7">
        <w:rPr>
          <w:sz w:val="22"/>
          <w:szCs w:val="22"/>
        </w:rPr>
        <w:t xml:space="preserve"> la Ordonanța de urgență a Guvernului nr. 57/2019</w:t>
      </w:r>
      <w:r>
        <w:rPr>
          <w:sz w:val="22"/>
          <w:szCs w:val="22"/>
        </w:rPr>
        <w:t>)</w:t>
      </w:r>
    </w:p>
    <w:p w:rsidR="001B36C3" w:rsidRPr="009514A7" w:rsidRDefault="001B36C3" w:rsidP="001B36C3">
      <w:pPr>
        <w:widowControl w:val="0"/>
        <w:jc w:val="center"/>
        <w:rPr>
          <w:sz w:val="22"/>
          <w:szCs w:val="22"/>
        </w:rPr>
      </w:pPr>
    </w:p>
    <w:p w:rsidR="00305330" w:rsidRPr="00301EF0" w:rsidRDefault="00305330" w:rsidP="00305330">
      <w:pPr>
        <w:widowControl w:val="0"/>
        <w:jc w:val="center"/>
        <w:rPr>
          <w:b/>
          <w:sz w:val="22"/>
          <w:szCs w:val="22"/>
          <w:lang w:val="en-US"/>
        </w:rPr>
      </w:pPr>
      <w:r w:rsidRPr="00301EF0">
        <w:rPr>
          <w:b/>
          <w:sz w:val="22"/>
          <w:szCs w:val="22"/>
        </w:rPr>
        <w:t xml:space="preserve">Lista autorităților și instituțiilor publice obligate la inițierea armonizării conform prevederilor art. 539 </w:t>
      </w:r>
    </w:p>
    <w:p w:rsidR="00305330" w:rsidRPr="00301EF0" w:rsidRDefault="00305330" w:rsidP="00305330">
      <w:pPr>
        <w:widowControl w:val="0"/>
        <w:rPr>
          <w:b/>
          <w:bCs/>
          <w:sz w:val="22"/>
          <w:szCs w:val="22"/>
        </w:rPr>
      </w:pPr>
    </w:p>
    <w:p w:rsidR="00305330" w:rsidRPr="00301EF0" w:rsidRDefault="00305330" w:rsidP="00305330">
      <w:pPr>
        <w:rPr>
          <w:b/>
          <w:bCs/>
          <w:sz w:val="22"/>
          <w:szCs w:val="22"/>
        </w:rPr>
      </w:pPr>
      <w:r w:rsidRPr="00301EF0">
        <w:rPr>
          <w:b/>
          <w:bCs/>
          <w:sz w:val="22"/>
          <w:szCs w:val="22"/>
        </w:rPr>
        <w:t>Art. 1</w:t>
      </w:r>
      <w:r w:rsidR="00301EF0" w:rsidRPr="00301EF0">
        <w:rPr>
          <w:b/>
          <w:bCs/>
          <w:sz w:val="22"/>
          <w:szCs w:val="22"/>
        </w:rPr>
        <w:t xml:space="preserve"> - </w:t>
      </w:r>
      <w:r w:rsidRPr="00301EF0">
        <w:rPr>
          <w:sz w:val="22"/>
          <w:szCs w:val="22"/>
        </w:rPr>
        <w:t xml:space="preserve">Încadrează personal contractual conform art. </w:t>
      </w:r>
      <w:r w:rsidRPr="00301EF0">
        <w:rPr>
          <w:bCs/>
          <w:sz w:val="22"/>
          <w:szCs w:val="22"/>
        </w:rPr>
        <w:t>539 alin. (2) lit. f) din prezentul cod</w:t>
      </w:r>
      <w:r w:rsidRPr="00301EF0">
        <w:rPr>
          <w:sz w:val="22"/>
          <w:szCs w:val="22"/>
        </w:rPr>
        <w:t>, următoarele autorități și instituții publice: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Administrația Prezidențială;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Ministerul Apărării Naționale;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Ministerul Afacerilor Interne;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Serviciul Român de Informații;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Serviciul de Informații Externe;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Serviciul de Protecție și Pază;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Administrația Națională pentru Rezervele Statului și Probleme Speciale;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Banca Națională a României;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Societatea Română de Televiziune;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Societatea Română de Radiodifuziune;</w:t>
      </w:r>
    </w:p>
    <w:p w:rsidR="00305330" w:rsidRPr="00301EF0" w:rsidRDefault="00305330" w:rsidP="00305330">
      <w:pPr>
        <w:pStyle w:val="ListParagraph"/>
        <w:numPr>
          <w:ilvl w:val="1"/>
          <w:numId w:val="48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Academia Română de Științe.</w:t>
      </w:r>
    </w:p>
    <w:p w:rsidR="00305330" w:rsidRPr="00301EF0" w:rsidRDefault="00305330" w:rsidP="00305330">
      <w:pPr>
        <w:rPr>
          <w:b/>
          <w:bCs/>
          <w:sz w:val="22"/>
          <w:szCs w:val="22"/>
        </w:rPr>
      </w:pPr>
      <w:r w:rsidRPr="00301EF0">
        <w:rPr>
          <w:b/>
          <w:bCs/>
          <w:sz w:val="22"/>
          <w:szCs w:val="22"/>
        </w:rPr>
        <w:t>Art. 2</w:t>
      </w:r>
      <w:r w:rsidR="00301EF0" w:rsidRPr="00301EF0">
        <w:rPr>
          <w:b/>
          <w:bCs/>
          <w:sz w:val="22"/>
          <w:szCs w:val="22"/>
        </w:rPr>
        <w:t xml:space="preserve"> - </w:t>
      </w:r>
      <w:r w:rsidRPr="00301EF0">
        <w:rPr>
          <w:sz w:val="22"/>
          <w:szCs w:val="22"/>
        </w:rPr>
        <w:t>Autorități publice care au obligația de a iniția modificarea legilor proprii de organizare și funcționare pentru a pune în acord cadrul specific de reglementare cu prevederile prezentului cod în vederea dezvoltării cadrelor de competențe, conform art.</w:t>
      </w:r>
      <w:r w:rsidRPr="00301EF0">
        <w:rPr>
          <w:bCs/>
          <w:sz w:val="22"/>
          <w:szCs w:val="22"/>
        </w:rPr>
        <w:t xml:space="preserve"> 539 alin. (9) din prezentul cod</w:t>
      </w:r>
      <w:r w:rsidRPr="00301EF0">
        <w:rPr>
          <w:sz w:val="22"/>
          <w:szCs w:val="22"/>
        </w:rPr>
        <w:t>:</w:t>
      </w:r>
    </w:p>
    <w:p w:rsidR="001B36C3" w:rsidRPr="00301EF0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Autoritatea de Supraveghere Financiară;</w:t>
      </w:r>
    </w:p>
    <w:p w:rsidR="001B36C3" w:rsidRPr="00301EF0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Autoritatea de Reglementare în Energie;</w:t>
      </w:r>
    </w:p>
    <w:p w:rsidR="001B36C3" w:rsidRPr="00301EF0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Curtea de Conturi;</w:t>
      </w:r>
    </w:p>
    <w:p w:rsidR="001B36C3" w:rsidRPr="00301EF0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Consiliul Concurenței;</w:t>
      </w:r>
    </w:p>
    <w:p w:rsidR="001B36C3" w:rsidRPr="00301EF0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301EF0">
        <w:rPr>
          <w:sz w:val="22"/>
          <w:szCs w:val="22"/>
        </w:rPr>
        <w:t>Agenția Națională de Integritate;</w:t>
      </w:r>
      <w:bookmarkStart w:id="0" w:name="_GoBack"/>
      <w:bookmarkEnd w:id="0"/>
    </w:p>
    <w:p w:rsidR="001B36C3" w:rsidRPr="009514A7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9514A7">
        <w:rPr>
          <w:sz w:val="22"/>
          <w:szCs w:val="22"/>
        </w:rPr>
        <w:t>Consiliul Național al Audiovizualului;</w:t>
      </w:r>
    </w:p>
    <w:p w:rsidR="001B36C3" w:rsidRPr="009514A7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9514A7">
        <w:rPr>
          <w:sz w:val="22"/>
          <w:szCs w:val="22"/>
        </w:rPr>
        <w:t>Consiliul Național pentru Studierea Arhivelor Securității;</w:t>
      </w:r>
    </w:p>
    <w:p w:rsidR="001B36C3" w:rsidRPr="009514A7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9514A7">
        <w:rPr>
          <w:sz w:val="22"/>
          <w:szCs w:val="22"/>
        </w:rPr>
        <w:t>Oficiul Național pentru Prevenirea și Combaterea Spălării Banilor;</w:t>
      </w:r>
    </w:p>
    <w:p w:rsidR="001B36C3" w:rsidRPr="009514A7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9514A7">
        <w:rPr>
          <w:sz w:val="22"/>
          <w:szCs w:val="22"/>
        </w:rPr>
        <w:t>Autoritatea Națională pentru Supravegherea Prelucrării Datelor cu Caracter Personal;</w:t>
      </w:r>
    </w:p>
    <w:p w:rsidR="001B36C3" w:rsidRPr="009514A7" w:rsidRDefault="001B36C3" w:rsidP="001B36C3">
      <w:pPr>
        <w:pStyle w:val="ListParagraph"/>
        <w:numPr>
          <w:ilvl w:val="0"/>
          <w:numId w:val="49"/>
        </w:numPr>
        <w:spacing w:after="160" w:line="259" w:lineRule="auto"/>
        <w:ind w:left="567"/>
        <w:jc w:val="both"/>
        <w:rPr>
          <w:b/>
          <w:bCs/>
          <w:sz w:val="22"/>
          <w:szCs w:val="22"/>
        </w:rPr>
      </w:pPr>
      <w:r w:rsidRPr="009514A7">
        <w:rPr>
          <w:sz w:val="22"/>
          <w:szCs w:val="22"/>
        </w:rPr>
        <w:t>Celelalte autorități cu autonomie funcțională din subordinea sau în coordonarea Secretariatului General al Guvernului ori a ministerelor.</w:t>
      </w:r>
    </w:p>
    <w:p w:rsidR="001B36C3" w:rsidRPr="009514A7" w:rsidRDefault="001B36C3" w:rsidP="001B36C3">
      <w:pPr>
        <w:widowControl w:val="0"/>
        <w:jc w:val="center"/>
        <w:rPr>
          <w:b/>
          <w:bCs/>
          <w:sz w:val="22"/>
          <w:szCs w:val="22"/>
        </w:rPr>
      </w:pPr>
    </w:p>
    <w:p w:rsidR="001B36C3" w:rsidRPr="009514A7" w:rsidRDefault="001B36C3" w:rsidP="001B36C3">
      <w:pPr>
        <w:widowControl w:val="0"/>
        <w:jc w:val="center"/>
        <w:rPr>
          <w:b/>
          <w:bCs/>
          <w:sz w:val="22"/>
          <w:szCs w:val="22"/>
        </w:rPr>
      </w:pPr>
    </w:p>
    <w:p w:rsidR="001B36C3" w:rsidRPr="009514A7" w:rsidRDefault="001B36C3" w:rsidP="001B36C3">
      <w:pPr>
        <w:widowControl w:val="0"/>
        <w:rPr>
          <w:b/>
          <w:bCs/>
          <w:sz w:val="22"/>
          <w:szCs w:val="22"/>
        </w:rPr>
      </w:pPr>
    </w:p>
    <w:sectPr w:rsidR="001B36C3" w:rsidRPr="009514A7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C7" w:rsidRDefault="00D735C7">
      <w:r>
        <w:separator/>
      </w:r>
    </w:p>
  </w:endnote>
  <w:endnote w:type="continuationSeparator" w:id="0">
    <w:p w:rsidR="00D735C7" w:rsidRDefault="00D7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B36C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01EF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33734B0" wp14:editId="47ED08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557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01E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</w:t>
    </w:r>
  </w:p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C7" w:rsidRDefault="00D735C7">
      <w:r>
        <w:separator/>
      </w:r>
    </w:p>
  </w:footnote>
  <w:footnote w:type="continuationSeparator" w:id="0">
    <w:p w:rsidR="00D735C7" w:rsidRDefault="00D73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D735C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A5F9C"/>
    <w:multiLevelType w:val="hybridMultilevel"/>
    <w:tmpl w:val="60B0CB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76B281D"/>
    <w:multiLevelType w:val="hybridMultilevel"/>
    <w:tmpl w:val="7C507B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1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6"/>
  </w:num>
  <w:num w:numId="20">
    <w:abstractNumId w:val="18"/>
  </w:num>
  <w:num w:numId="21">
    <w:abstractNumId w:val="31"/>
  </w:num>
  <w:num w:numId="22">
    <w:abstractNumId w:val="47"/>
  </w:num>
  <w:num w:numId="23">
    <w:abstractNumId w:val="12"/>
  </w:num>
  <w:num w:numId="24">
    <w:abstractNumId w:val="29"/>
  </w:num>
  <w:num w:numId="25">
    <w:abstractNumId w:val="13"/>
  </w:num>
  <w:num w:numId="26">
    <w:abstractNumId w:val="42"/>
  </w:num>
  <w:num w:numId="27">
    <w:abstractNumId w:val="15"/>
  </w:num>
  <w:num w:numId="28">
    <w:abstractNumId w:val="23"/>
  </w:num>
  <w:num w:numId="29">
    <w:abstractNumId w:val="28"/>
  </w:num>
  <w:num w:numId="30">
    <w:abstractNumId w:val="17"/>
  </w:num>
  <w:num w:numId="31">
    <w:abstractNumId w:val="20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6"/>
  </w:num>
  <w:num w:numId="41">
    <w:abstractNumId w:val="19"/>
  </w:num>
  <w:num w:numId="42">
    <w:abstractNumId w:val="26"/>
  </w:num>
  <w:num w:numId="43">
    <w:abstractNumId w:val="27"/>
  </w:num>
  <w:num w:numId="44">
    <w:abstractNumId w:val="44"/>
  </w:num>
  <w:num w:numId="45">
    <w:abstractNumId w:val="22"/>
  </w:num>
  <w:num w:numId="46">
    <w:abstractNumId w:val="24"/>
  </w:num>
  <w:num w:numId="47">
    <w:abstractNumId w:val="45"/>
  </w:num>
  <w:num w:numId="48">
    <w:abstractNumId w:val="2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0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35C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342"/>
    <w:rsid w:val="00106BA0"/>
    <w:rsid w:val="00111FFE"/>
    <w:rsid w:val="00113565"/>
    <w:rsid w:val="00120E1F"/>
    <w:rsid w:val="00122A0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36C3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1EF0"/>
    <w:rsid w:val="00305330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3CD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172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1B36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530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35C7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0BE8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3DE8099C-B9CB-4D20-B329-8158E72B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aliases w:val="Forth level,List Paragraph1,Paragraph,body 2,Normal bullet 2,A_wyliczenie,K-P_odwolanie,Akapit z listą5,maz_wyliczenie,opis dzialania,Bullet 1,Table of contents numbered,Bullet Points,Liste Paragraf,Listenabsatz1,Bullet list,Figura nr,lp1"/>
    <w:basedOn w:val="Normal"/>
    <w:link w:val="ListParagraphChar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istParagraphChar">
    <w:name w:val="List Paragraph Char"/>
    <w:aliases w:val="Forth level Char,List Paragraph1 Char,Paragraph Char,body 2 Char,Normal bullet 2 Char,A_wyliczenie Char,K-P_odwolanie Char,Akapit z listą5 Char,maz_wyliczenie Char,opis dzialania Char,Bullet 1 Char,Table of contents numbered Char"/>
    <w:link w:val="ListParagraph"/>
    <w:uiPriority w:val="34"/>
    <w:qFormat/>
    <w:locked/>
    <w:rsid w:val="001B36C3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6931-BE9B-46A1-92EA-9155408C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Andreea Iancu</dc:creator>
  <cp:keywords/>
  <dc:description/>
  <cp:lastModifiedBy>Florin Cazacu</cp:lastModifiedBy>
  <cp:revision>3</cp:revision>
  <cp:lastPrinted>2025-02-24T10:35:00Z</cp:lastPrinted>
  <dcterms:created xsi:type="dcterms:W3CDTF">2025-02-07T11:16:00Z</dcterms:created>
  <dcterms:modified xsi:type="dcterms:W3CDTF">2025-02-24T10:36:00Z</dcterms:modified>
</cp:coreProperties>
</file>