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p w:rsidR="0022069C" w:rsidRPr="0022069C" w:rsidRDefault="0022069C" w:rsidP="0022069C">
      <w:pPr>
        <w:spacing w:after="160"/>
        <w:jc w:val="center"/>
        <w:rPr>
          <w:rFonts w:ascii="Trebuchet MS" w:hAnsi="Trebuchet MS"/>
          <w:b/>
        </w:rPr>
      </w:pPr>
      <w:r w:rsidRPr="0022069C">
        <w:rPr>
          <w:rFonts w:ascii="Trebuchet MS" w:hAnsi="Trebuchet MS"/>
          <w:b/>
          <w:lang w:eastAsia="ro-RO"/>
        </w:rPr>
        <w:t>Punct de vedere cu privire la menț</w:t>
      </w:r>
      <w:bookmarkStart w:id="0" w:name="_GoBack"/>
      <w:bookmarkEnd w:id="0"/>
      <w:r w:rsidRPr="0022069C">
        <w:rPr>
          <w:rFonts w:ascii="Trebuchet MS" w:hAnsi="Trebuchet MS"/>
          <w:b/>
          <w:lang w:eastAsia="ro-RO"/>
        </w:rPr>
        <w:t>inerea în activitate a unui funcționar public ulterior îndeplinirii cumulative a condițiilor de vârstă standard și a stagiului minim de cotizare pentru pensionare</w:t>
      </w:r>
    </w:p>
    <w:p w:rsidR="009825C0" w:rsidRPr="00903A81" w:rsidRDefault="00F87977" w:rsidP="00F87977">
      <w:pPr>
        <w:tabs>
          <w:tab w:val="center" w:pos="4536"/>
          <w:tab w:val="left" w:pos="5355"/>
          <w:tab w:val="right" w:pos="9072"/>
        </w:tabs>
        <w:rPr>
          <w:rFonts w:ascii="Trebuchet MS" w:hAnsi="Trebuchet MS"/>
        </w:rPr>
      </w:pPr>
      <w:r>
        <w:rPr>
          <w:rFonts w:ascii="Trebuchet MS" w:hAnsi="Trebuchet MS"/>
        </w:rPr>
        <w:tab/>
      </w:r>
      <w:r>
        <w:rPr>
          <w:rFonts w:ascii="Trebuchet MS" w:hAnsi="Trebuchet MS"/>
        </w:rPr>
        <w:tab/>
      </w:r>
    </w:p>
    <w:p w:rsidR="009825C0" w:rsidRPr="00903A81" w:rsidRDefault="009825C0" w:rsidP="009825C0">
      <w:pPr>
        <w:tabs>
          <w:tab w:val="center" w:pos="4536"/>
          <w:tab w:val="right" w:pos="9072"/>
        </w:tabs>
        <w:jc w:val="right"/>
        <w:rPr>
          <w:rFonts w:ascii="Trebuchet MS" w:hAnsi="Trebuchet MS"/>
        </w:rPr>
      </w:pPr>
    </w:p>
    <w:p w:rsidR="0022069C" w:rsidRDefault="0022069C" w:rsidP="0022069C">
      <w:pPr>
        <w:pStyle w:val="ListParagraph"/>
        <w:numPr>
          <w:ilvl w:val="0"/>
          <w:numId w:val="48"/>
        </w:numPr>
        <w:tabs>
          <w:tab w:val="left" w:pos="-284"/>
          <w:tab w:val="left" w:pos="-142"/>
        </w:tabs>
        <w:ind w:left="-709" w:right="-646" w:firstLine="283"/>
        <w:jc w:val="both"/>
        <w:rPr>
          <w:rFonts w:ascii="Trebuchet MS" w:hAnsi="Trebuchet MS"/>
          <w:color w:val="000000"/>
        </w:rPr>
      </w:pPr>
      <w:r>
        <w:rPr>
          <w:rFonts w:ascii="Trebuchet MS" w:hAnsi="Trebuchet MS"/>
          <w:color w:val="000000"/>
        </w:rPr>
        <w:t xml:space="preserve">În conformitate cu prevederile art. 517 alin. (1) lit. d) din </w:t>
      </w:r>
      <w:r w:rsidRPr="00856139">
        <w:rPr>
          <w:rFonts w:ascii="Trebuchet MS" w:hAnsi="Trebuchet MS"/>
        </w:rPr>
        <w:t>O</w:t>
      </w:r>
      <w:r>
        <w:rPr>
          <w:rFonts w:ascii="Trebuchet MS" w:hAnsi="Trebuchet MS"/>
        </w:rPr>
        <w:t xml:space="preserve">rdonanța de urgență a Guvernului </w:t>
      </w:r>
      <w:r w:rsidRPr="00856139">
        <w:rPr>
          <w:rFonts w:ascii="Trebuchet MS" w:hAnsi="Trebuchet MS"/>
        </w:rPr>
        <w:t>nr.57/2019</w:t>
      </w:r>
      <w:r>
        <w:rPr>
          <w:rFonts w:ascii="Trebuchet MS" w:hAnsi="Trebuchet MS"/>
        </w:rPr>
        <w:t xml:space="preserve"> privind Codul administrativ</w:t>
      </w:r>
      <w:r w:rsidRPr="00856139">
        <w:rPr>
          <w:rFonts w:ascii="Trebuchet MS" w:hAnsi="Trebuchet MS"/>
        </w:rPr>
        <w:t>, cu modificările și completările ulterioare</w:t>
      </w:r>
      <w:r>
        <w:rPr>
          <w:rFonts w:ascii="Trebuchet MS" w:hAnsi="Trebuchet MS"/>
        </w:rPr>
        <w:t xml:space="preserve">, raportul de serviciu al funcționarului public încetează de drept la data îndeplinirii cumulative a </w:t>
      </w:r>
      <w:r w:rsidRPr="00856139">
        <w:rPr>
          <w:rFonts w:ascii="Trebuchet MS" w:hAnsi="Trebuchet MS"/>
          <w:color w:val="000000"/>
        </w:rPr>
        <w:t>condițiilor de vârstă standard și a stagiului minim de cotizare pentru pensionare</w:t>
      </w:r>
      <w:r>
        <w:rPr>
          <w:rFonts w:ascii="Trebuchet MS" w:hAnsi="Trebuchet MS"/>
          <w:color w:val="000000"/>
        </w:rPr>
        <w:t>.</w:t>
      </w:r>
    </w:p>
    <w:p w:rsidR="0022069C" w:rsidRPr="00B20249" w:rsidRDefault="0022069C" w:rsidP="0022069C">
      <w:pPr>
        <w:tabs>
          <w:tab w:val="left" w:pos="-426"/>
        </w:tabs>
        <w:ind w:left="-709" w:right="-646" w:hanging="284"/>
        <w:jc w:val="both"/>
        <w:rPr>
          <w:rFonts w:ascii="Trebuchet MS" w:hAnsi="Trebuchet MS"/>
          <w:color w:val="000000"/>
        </w:rPr>
      </w:pPr>
      <w:r>
        <w:rPr>
          <w:rFonts w:ascii="Trebuchet MS" w:hAnsi="Trebuchet MS"/>
          <w:color w:val="000000"/>
        </w:rPr>
        <w:t xml:space="preserve">        </w:t>
      </w:r>
      <w:r w:rsidRPr="00B20249">
        <w:rPr>
          <w:rFonts w:ascii="Trebuchet MS" w:hAnsi="Trebuchet MS"/>
          <w:color w:val="000000"/>
        </w:rPr>
        <w:t xml:space="preserve"> </w:t>
      </w:r>
      <w:r>
        <w:rPr>
          <w:rFonts w:ascii="Trebuchet MS" w:hAnsi="Trebuchet MS"/>
          <w:color w:val="000000"/>
        </w:rPr>
        <w:t xml:space="preserve"> </w:t>
      </w:r>
      <w:r w:rsidRPr="00B20249">
        <w:rPr>
          <w:rFonts w:ascii="Trebuchet MS" w:hAnsi="Trebuchet MS"/>
          <w:color w:val="000000"/>
        </w:rPr>
        <w:t xml:space="preserve">Menținerea în activitate a unui funcționar public ulterior îndeplinirii cumulative a condițiilor de vârstă standard și a stagiului minim de cotizare pentru pensionare se poate face pentru perioade de câte un an de la data îndeplinirii cumulative a condițiilor de vârstă standard și stagiului minim de cotizare pentru pensionare, raportat la </w:t>
      </w:r>
      <w:r w:rsidRPr="00B20249">
        <w:rPr>
          <w:rFonts w:ascii="Trebuchet MS" w:hAnsi="Trebuchet MS"/>
        </w:rPr>
        <w:t>dispozițiile art. 517 alin. (1) lit. d) și alin. (2) din O.U.G.</w:t>
      </w:r>
      <w:r>
        <w:rPr>
          <w:rFonts w:ascii="Trebuchet MS" w:hAnsi="Trebuchet MS"/>
        </w:rPr>
        <w:t xml:space="preserve"> </w:t>
      </w:r>
      <w:r w:rsidRPr="00B20249">
        <w:rPr>
          <w:rFonts w:ascii="Trebuchet MS" w:hAnsi="Trebuchet MS"/>
        </w:rPr>
        <w:t xml:space="preserve">nr.57/2019, cu modificările și completările ulterioare. Astfel, funcționarul public, pe baza unei cereri formulate cu 2 luni înainte de data îndeplinirii cumulative a condițiilor de vârstă standard și a stagiului minim de cotizare pentru pensionare și cu aprobarea conducătorului autorității sau instituției publice, poate fi menținut în funcția publică deținută maximum 3 ani peste vârsta standard de pensionare, cu posibilitatea </w:t>
      </w:r>
      <w:r w:rsidRPr="00B20249">
        <w:rPr>
          <w:rFonts w:ascii="Trebuchet MS" w:hAnsi="Trebuchet MS"/>
          <w:color w:val="000000"/>
        </w:rPr>
        <w:t>prelungirii anuale a raportului de serviciu. În situația cererilor de menținere în activitate aprobate pentru perioade mai mici de un an, opinăm că este necesară respectarea normei legale care se referă la faptul că prelungirea raportului de serviciu este anuală, termen care se analizează de instituția publică în funcție de momentul solicitării acestei prelungiri</w:t>
      </w:r>
      <w:r w:rsidRPr="00B20249">
        <w:rPr>
          <w:rFonts w:ascii="Trebuchet MS" w:hAnsi="Trebuchet MS"/>
        </w:rPr>
        <w:t xml:space="preserve">. </w:t>
      </w:r>
    </w:p>
    <w:p w:rsidR="0022069C" w:rsidRDefault="0022069C" w:rsidP="0022069C">
      <w:pPr>
        <w:tabs>
          <w:tab w:val="left" w:pos="-284"/>
        </w:tabs>
        <w:ind w:left="-709" w:right="-646"/>
        <w:jc w:val="both"/>
        <w:rPr>
          <w:rFonts w:ascii="Trebuchet MS" w:hAnsi="Trebuchet MS"/>
          <w:color w:val="000000"/>
        </w:rPr>
      </w:pPr>
      <w:r>
        <w:rPr>
          <w:rFonts w:ascii="Trebuchet MS" w:hAnsi="Trebuchet MS"/>
          <w:color w:val="000000"/>
        </w:rPr>
        <w:t xml:space="preserve">     Totodată, prin raportare la prevederile art. 517 alin. (2) teza a II-a, pe perioada în care este dispusă menținerea în activitate a funcționarului public, raportul de serviciu al acestuia poate fi exercitat cu durată redusă a timpului de muncă la jumătate de normă. </w:t>
      </w:r>
    </w:p>
    <w:p w:rsidR="0022069C" w:rsidRDefault="0022069C" w:rsidP="0022069C">
      <w:pPr>
        <w:tabs>
          <w:tab w:val="left" w:pos="-284"/>
        </w:tabs>
        <w:ind w:left="-709" w:right="-646"/>
        <w:jc w:val="both"/>
        <w:rPr>
          <w:rFonts w:ascii="Trebuchet MS" w:hAnsi="Trebuchet MS"/>
          <w:color w:val="000000"/>
        </w:rPr>
      </w:pPr>
      <w:r>
        <w:rPr>
          <w:rFonts w:ascii="Trebuchet MS" w:hAnsi="Trebuchet MS"/>
          <w:color w:val="000000"/>
        </w:rPr>
        <w:t xml:space="preserve">    Constatarea cazului de încetare de drept a raportului de serviciu se face în termen de 5 zile lucrătoare de la intervenirea lui prin act administrativ al persoanei care are competența legală de numire în funcția publică, în conformitate cu prevederile art. 517 alin. (3) din O.U.G. nr. 57/2019, cu modificările și completările ulterioare. </w:t>
      </w:r>
    </w:p>
    <w:p w:rsidR="0022069C" w:rsidRDefault="0022069C" w:rsidP="0022069C">
      <w:pPr>
        <w:tabs>
          <w:tab w:val="left" w:pos="-284"/>
        </w:tabs>
        <w:ind w:left="-709" w:right="-646"/>
        <w:jc w:val="both"/>
        <w:rPr>
          <w:rFonts w:ascii="Trebuchet MS" w:hAnsi="Trebuchet MS"/>
          <w:bCs/>
          <w:iCs/>
          <w:color w:val="000000"/>
        </w:rPr>
      </w:pPr>
      <w:r>
        <w:rPr>
          <w:rFonts w:ascii="Trebuchet MS" w:hAnsi="Trebuchet MS"/>
          <w:color w:val="000000"/>
        </w:rPr>
        <w:t xml:space="preserve">  II. </w:t>
      </w:r>
      <w:r w:rsidRPr="004008C9">
        <w:rPr>
          <w:rFonts w:ascii="Trebuchet MS" w:hAnsi="Trebuchet MS"/>
          <w:color w:val="000000"/>
        </w:rPr>
        <w:t xml:space="preserve">Decizia Curţii Constituţionale a României nr. 387/05.06.2018, publicată în Monitorul Oficial al României, Partea I, nr. 642/24.VII.2018, vizează dispoziții legale aplicabile personalului contractual, respectiv art. 56 alin. (1) lit. c) </w:t>
      </w:r>
      <w:r>
        <w:rPr>
          <w:rFonts w:ascii="Trebuchet MS" w:hAnsi="Trebuchet MS"/>
          <w:color w:val="000000"/>
        </w:rPr>
        <w:t xml:space="preserve">teza I </w:t>
      </w:r>
      <w:r w:rsidRPr="004008C9">
        <w:rPr>
          <w:rFonts w:ascii="Trebuchet MS" w:hAnsi="Trebuchet MS"/>
          <w:color w:val="000000"/>
        </w:rPr>
        <w:t>din Legea nr. 53/2003 privind Codul muncii, republicată, cu modificările și completările ulterioare, astfel că dispoziţiile art. 56 alin. (1) lit. c)</w:t>
      </w:r>
      <w:r>
        <w:rPr>
          <w:rFonts w:ascii="Trebuchet MS" w:hAnsi="Trebuchet MS"/>
          <w:color w:val="000000"/>
        </w:rPr>
        <w:t xml:space="preserve"> teza I </w:t>
      </w:r>
      <w:r w:rsidRPr="004008C9">
        <w:rPr>
          <w:rFonts w:ascii="Trebuchet MS" w:hAnsi="Trebuchet MS"/>
          <w:color w:val="000000"/>
        </w:rPr>
        <w:t xml:space="preserve">din Legea nr.53/2003 privind Codul Muncii, republicată, cu modificările şi completările ulterioare, nu se aplică funcționarilor publici, raportat la art. 367 din O.U.G. nr. 57/2019, cu modificările și completările ulterioare. Apreciem că în prezent nu se impune modificarea </w:t>
      </w:r>
      <w:r>
        <w:rPr>
          <w:rFonts w:ascii="Trebuchet MS" w:hAnsi="Trebuchet MS"/>
          <w:color w:val="000000"/>
        </w:rPr>
        <w:t xml:space="preserve">O.U.G. nr. 57/2019 privind </w:t>
      </w:r>
      <w:r w:rsidRPr="004008C9">
        <w:rPr>
          <w:rFonts w:ascii="Trebuchet MS" w:hAnsi="Trebuchet MS"/>
          <w:color w:val="000000"/>
        </w:rPr>
        <w:t>Cod</w:t>
      </w:r>
      <w:r>
        <w:rPr>
          <w:rFonts w:ascii="Trebuchet MS" w:hAnsi="Trebuchet MS"/>
          <w:color w:val="000000"/>
        </w:rPr>
        <w:t>ul</w:t>
      </w:r>
      <w:r w:rsidRPr="004008C9">
        <w:rPr>
          <w:rFonts w:ascii="Trebuchet MS" w:hAnsi="Trebuchet MS"/>
          <w:color w:val="000000"/>
        </w:rPr>
        <w:t xml:space="preserve"> administrativ,</w:t>
      </w:r>
      <w:r>
        <w:rPr>
          <w:rFonts w:ascii="Trebuchet MS" w:hAnsi="Trebuchet MS"/>
          <w:color w:val="000000"/>
        </w:rPr>
        <w:t xml:space="preserve"> cu modificările și completările ulterioare, având în vedere</w:t>
      </w:r>
      <w:r w:rsidRPr="004008C9">
        <w:rPr>
          <w:rFonts w:ascii="Trebuchet MS" w:hAnsi="Trebuchet MS"/>
          <w:color w:val="000000"/>
        </w:rPr>
        <w:t xml:space="preserve"> </w:t>
      </w:r>
      <w:r w:rsidRPr="004008C9">
        <w:rPr>
          <w:rFonts w:ascii="Trebuchet MS" w:hAnsi="Trebuchet MS"/>
          <w:bCs/>
          <w:iCs/>
          <w:color w:val="000000"/>
        </w:rPr>
        <w:t>Decizia Curții Constituționale nr. 112/23.02.2021</w:t>
      </w:r>
      <w:r w:rsidRPr="004008C9">
        <w:rPr>
          <w:rFonts w:ascii="Trebuchet MS" w:hAnsi="Trebuchet MS"/>
          <w:i/>
          <w:iCs/>
          <w:color w:val="000000"/>
        </w:rPr>
        <w:t xml:space="preserve"> </w:t>
      </w:r>
      <w:r w:rsidRPr="004008C9">
        <w:rPr>
          <w:rFonts w:ascii="Trebuchet MS" w:hAnsi="Trebuchet MS"/>
          <w:bCs/>
          <w:iCs/>
          <w:color w:val="000000"/>
        </w:rPr>
        <w:t>publicată în Monitorul Oficial, Partea I nr. 353 din 07.04.2021, care stabilește că dispozițiile art. 98 alin. (1) lit. d) din Legea nr. 188/1999</w:t>
      </w:r>
      <w:r>
        <w:rPr>
          <w:rFonts w:ascii="Trebuchet MS" w:hAnsi="Trebuchet MS"/>
          <w:bCs/>
          <w:iCs/>
          <w:color w:val="000000"/>
        </w:rPr>
        <w:t xml:space="preserve"> privind statutul funcționarilor publici</w:t>
      </w:r>
      <w:r w:rsidRPr="004008C9">
        <w:rPr>
          <w:rFonts w:ascii="Trebuchet MS" w:hAnsi="Trebuchet MS"/>
          <w:bCs/>
          <w:iCs/>
          <w:color w:val="000000"/>
        </w:rPr>
        <w:t xml:space="preserve">, astfel cum au fost modificate prin art. I </w:t>
      </w:r>
      <w:hyperlink r:id="rId8" w:history="1">
        <w:r w:rsidRPr="004008C9">
          <w:rPr>
            <w:rStyle w:val="Hyperlink"/>
            <w:rFonts w:ascii="Trebuchet MS" w:hAnsi="Trebuchet MS"/>
            <w:bCs/>
            <w:iCs/>
            <w:color w:val="auto"/>
            <w:u w:val="none"/>
          </w:rPr>
          <w:t>pct. 24</w:t>
        </w:r>
      </w:hyperlink>
      <w:r w:rsidRPr="004008C9">
        <w:rPr>
          <w:rFonts w:ascii="Trebuchet MS" w:hAnsi="Trebuchet MS"/>
          <w:bCs/>
          <w:iCs/>
          <w:color w:val="000000"/>
        </w:rPr>
        <w:t xml:space="preserve"> din Legea nr. 156/2018, şi ale art. 517 alin. (1) </w:t>
      </w:r>
      <w:hyperlink r:id="rId9" w:history="1">
        <w:r w:rsidRPr="004008C9">
          <w:rPr>
            <w:rStyle w:val="Hyperlink"/>
            <w:rFonts w:ascii="Trebuchet MS" w:hAnsi="Trebuchet MS"/>
            <w:bCs/>
            <w:iCs/>
            <w:color w:val="000000" w:themeColor="text1"/>
            <w:u w:val="none"/>
          </w:rPr>
          <w:t>lit. d)</w:t>
        </w:r>
      </w:hyperlink>
      <w:r w:rsidRPr="004008C9">
        <w:rPr>
          <w:rFonts w:ascii="Trebuchet MS" w:hAnsi="Trebuchet MS"/>
          <w:bCs/>
          <w:iCs/>
          <w:color w:val="000000"/>
        </w:rPr>
        <w:t xml:space="preserve"> din O.U.G. nr. 57/2019 privind Codul administrativ sunt constituţionale în măsura în care sintagma "condiţii de vârstă standard" nu exclude posibilitatea femeii de a solicita continuarea exercitării raportului de serviciu, în condiţii identice cu bărbatul, respectiv până la împlinirea vârstei de 65 de ani.</w:t>
      </w:r>
    </w:p>
    <w:p w:rsidR="0022069C" w:rsidRPr="00780371" w:rsidRDefault="0022069C" w:rsidP="0022069C">
      <w:pPr>
        <w:tabs>
          <w:tab w:val="left" w:pos="-284"/>
        </w:tabs>
        <w:ind w:left="-709" w:right="-646"/>
        <w:jc w:val="both"/>
        <w:rPr>
          <w:rFonts w:ascii="Trebuchet MS" w:hAnsi="Trebuchet MS"/>
          <w:lang w:val="en-GB"/>
        </w:rPr>
      </w:pPr>
      <w:r>
        <w:rPr>
          <w:rFonts w:ascii="Trebuchet MS" w:hAnsi="Trebuchet MS"/>
          <w:color w:val="000000"/>
        </w:rPr>
        <w:lastRenderedPageBreak/>
        <w:t xml:space="preserve">      În motivarea excepției de neconstituționalitate, Curtea Constituțională a României reține că dispozițiile art. 98 alin. (1) lit. d) din Legea nr. 188/1999 privind statutul funcționarilor publici, astfel cum a fost modificat prin art. I pct. 24 din Legea nr. 156/2018, precum și dispozițiile art. 5</w:t>
      </w:r>
      <w:r w:rsidRPr="004008C9">
        <w:rPr>
          <w:rFonts w:ascii="Trebuchet MS" w:hAnsi="Trebuchet MS"/>
          <w:bCs/>
          <w:iCs/>
          <w:color w:val="000000"/>
        </w:rPr>
        <w:t xml:space="preserve">17 alin. (1) </w:t>
      </w:r>
      <w:hyperlink r:id="rId10" w:history="1">
        <w:r w:rsidRPr="004008C9">
          <w:rPr>
            <w:rStyle w:val="Hyperlink"/>
            <w:rFonts w:ascii="Trebuchet MS" w:hAnsi="Trebuchet MS"/>
            <w:bCs/>
            <w:iCs/>
            <w:color w:val="000000" w:themeColor="text1"/>
            <w:u w:val="none"/>
          </w:rPr>
          <w:t>lit. d)</w:t>
        </w:r>
      </w:hyperlink>
      <w:r w:rsidRPr="004008C9">
        <w:rPr>
          <w:rFonts w:ascii="Trebuchet MS" w:hAnsi="Trebuchet MS"/>
          <w:bCs/>
          <w:iCs/>
          <w:color w:val="000000"/>
        </w:rPr>
        <w:t xml:space="preserve"> din O.U.G. nr. 57/2019 privind Codul administrativ</w:t>
      </w:r>
      <w:r>
        <w:rPr>
          <w:rFonts w:ascii="Trebuchet MS" w:hAnsi="Trebuchet MS"/>
          <w:bCs/>
          <w:iCs/>
          <w:color w:val="000000"/>
        </w:rPr>
        <w:t xml:space="preserve"> referitoare la sintagma </w:t>
      </w:r>
      <w:r w:rsidRPr="004008C9">
        <w:rPr>
          <w:rFonts w:ascii="Trebuchet MS" w:hAnsi="Trebuchet MS"/>
          <w:bCs/>
          <w:iCs/>
          <w:color w:val="000000"/>
        </w:rPr>
        <w:t xml:space="preserve">"condiţii de vârstă standard" </w:t>
      </w:r>
      <w:r>
        <w:rPr>
          <w:rFonts w:ascii="Trebuchet MS" w:hAnsi="Trebuchet MS"/>
          <w:bCs/>
          <w:iCs/>
          <w:color w:val="000000"/>
        </w:rPr>
        <w:t>în ceea ce privește încetarea de drept a raportului de serviciu al funcționarului public femeie, respectă prevederile art. 1 alin. (3)</w:t>
      </w:r>
      <w:r>
        <w:rPr>
          <w:rFonts w:ascii="Trebuchet MS" w:hAnsi="Trebuchet MS"/>
          <w:color w:val="000000"/>
        </w:rPr>
        <w:t xml:space="preserve"> și art. 16 din Constituția României, republicată, precum și pe cele ale art. 9 și art. 14 alin. (1) lit. c) din Directiva 2006/54/CE a Parlamentului European și a Consiliului din 5 iulie 2006 privind punerea în aplicare a principiului egalității de șanse și al egalității de tratament între bărbați și femei în materie de încadrare în muncă și de muncă, în măsura în care nu exclud posibilitatea funcționarului public femeie de a solicita continuarea exercitării raportului de serviciu, în condiții identice cu funcționarul public bărbat, respectiv până la împlinirea vârstei de 65 de ani, care reprezintă împlinirea vârstei legale standard de pensionare prevăzute pentru bărbați, potrivit art. 53 alin. (1) din </w:t>
      </w:r>
      <w:r w:rsidRPr="00780371">
        <w:rPr>
          <w:rFonts w:ascii="Trebuchet MS" w:hAnsi="Trebuchet MS"/>
        </w:rPr>
        <w:t xml:space="preserve">Legea nr. </w:t>
      </w:r>
      <w:r>
        <w:rPr>
          <w:rFonts w:ascii="Trebuchet MS" w:hAnsi="Trebuchet MS"/>
        </w:rPr>
        <w:t>263</w:t>
      </w:r>
      <w:r w:rsidRPr="00780371">
        <w:rPr>
          <w:rFonts w:ascii="Trebuchet MS" w:hAnsi="Trebuchet MS"/>
        </w:rPr>
        <w:t>/201</w:t>
      </w:r>
      <w:r>
        <w:rPr>
          <w:rFonts w:ascii="Trebuchet MS" w:hAnsi="Trebuchet MS"/>
        </w:rPr>
        <w:t>0</w:t>
      </w:r>
      <w:r w:rsidRPr="00780371">
        <w:rPr>
          <w:rFonts w:ascii="Trebuchet MS" w:hAnsi="Trebuchet MS"/>
        </w:rPr>
        <w:t xml:space="preserve"> privind sistemul </w:t>
      </w:r>
      <w:r>
        <w:rPr>
          <w:rFonts w:ascii="Trebuchet MS" w:hAnsi="Trebuchet MS"/>
        </w:rPr>
        <w:t xml:space="preserve">unitar de </w:t>
      </w:r>
      <w:r w:rsidRPr="00780371">
        <w:rPr>
          <w:rFonts w:ascii="Trebuchet MS" w:hAnsi="Trebuchet MS"/>
        </w:rPr>
        <w:t>pensii</w:t>
      </w:r>
      <w:r>
        <w:rPr>
          <w:rFonts w:ascii="Trebuchet MS" w:hAnsi="Trebuchet MS"/>
        </w:rPr>
        <w:t xml:space="preserve"> publice</w:t>
      </w:r>
      <w:r w:rsidRPr="00780371">
        <w:rPr>
          <w:rFonts w:ascii="Trebuchet MS" w:hAnsi="Trebuchet MS"/>
        </w:rPr>
        <w:t xml:space="preserve">, cu modificările </w:t>
      </w:r>
      <w:r>
        <w:rPr>
          <w:rFonts w:ascii="Trebuchet MS" w:hAnsi="Trebuchet MS"/>
        </w:rPr>
        <w:t xml:space="preserve">și completările </w:t>
      </w:r>
      <w:r w:rsidRPr="00780371">
        <w:rPr>
          <w:rFonts w:ascii="Trebuchet MS" w:hAnsi="Trebuchet MS"/>
        </w:rPr>
        <w:t>ulterioare.</w:t>
      </w:r>
    </w:p>
    <w:p w:rsidR="0022069C" w:rsidRDefault="0022069C" w:rsidP="0022069C">
      <w:pPr>
        <w:tabs>
          <w:tab w:val="left" w:pos="-284"/>
        </w:tabs>
        <w:ind w:left="-709" w:right="-646"/>
        <w:jc w:val="both"/>
        <w:rPr>
          <w:rFonts w:ascii="Trebuchet MS" w:hAnsi="Trebuchet MS"/>
          <w:color w:val="000000"/>
        </w:rPr>
      </w:pPr>
      <w:r>
        <w:rPr>
          <w:rFonts w:ascii="Trebuchet MS" w:hAnsi="Trebuchet MS"/>
          <w:color w:val="000000"/>
        </w:rPr>
        <w:t xml:space="preserve">     Astfel, prin raportare la cele menționate mai sus, funcționarul public femeie are posibilitatea de a solicita continuarea raportului de serviciu până la împlinirea vârstei de 65 de ani.</w:t>
      </w:r>
    </w:p>
    <w:p w:rsidR="0022069C" w:rsidRPr="004008C9" w:rsidRDefault="0022069C" w:rsidP="0022069C">
      <w:pPr>
        <w:tabs>
          <w:tab w:val="left" w:pos="-284"/>
        </w:tabs>
        <w:ind w:left="-709" w:right="-646"/>
        <w:jc w:val="both"/>
        <w:rPr>
          <w:rFonts w:ascii="Trebuchet MS" w:hAnsi="Trebuchet MS"/>
          <w:color w:val="000000"/>
        </w:rPr>
      </w:pPr>
      <w:r>
        <w:rPr>
          <w:rFonts w:ascii="Trebuchet MS" w:hAnsi="Trebuchet MS"/>
          <w:color w:val="000000"/>
        </w:rPr>
        <w:t xml:space="preserve"> </w:t>
      </w:r>
    </w:p>
    <w:p w:rsidR="009825C0" w:rsidRPr="00903A81" w:rsidRDefault="00502294" w:rsidP="00502294">
      <w:pPr>
        <w:tabs>
          <w:tab w:val="left" w:pos="4536"/>
        </w:tabs>
        <w:spacing w:after="160"/>
        <w:rPr>
          <w:rFonts w:ascii="Trebuchet MS" w:hAnsi="Trebuchet MS"/>
        </w:rPr>
      </w:pPr>
      <w:r>
        <w:rPr>
          <w:rFonts w:ascii="Trebuchet MS" w:hAnsi="Trebuchet MS"/>
        </w:rPr>
        <w:tab/>
      </w:r>
    </w:p>
    <w:p w:rsidR="009825C0" w:rsidRPr="00903A81" w:rsidRDefault="009825C0" w:rsidP="009825C0">
      <w:pPr>
        <w:spacing w:after="160"/>
        <w:rPr>
          <w:rFonts w:ascii="Trebuchet MS" w:hAnsi="Trebuchet MS"/>
        </w:rPr>
      </w:pPr>
    </w:p>
    <w:p w:rsidR="00FA535C" w:rsidRPr="00903A81" w:rsidRDefault="00FA535C" w:rsidP="009825C0">
      <w:pPr>
        <w:spacing w:after="160"/>
        <w:rPr>
          <w:rFonts w:ascii="Trebuchet MS" w:hAnsi="Trebuchet MS"/>
        </w:rPr>
      </w:pPr>
    </w:p>
    <w:p w:rsidR="00FA535C" w:rsidRPr="00903A81" w:rsidRDefault="00FA535C" w:rsidP="009825C0">
      <w:pPr>
        <w:spacing w:after="160"/>
        <w:rPr>
          <w:rFonts w:ascii="Trebuchet MS" w:hAnsi="Trebuchet MS"/>
        </w:rPr>
      </w:pPr>
    </w:p>
    <w:p w:rsidR="00FA535C" w:rsidRPr="00903A81" w:rsidRDefault="00FA535C" w:rsidP="009825C0">
      <w:pPr>
        <w:spacing w:after="160"/>
        <w:rPr>
          <w:rFonts w:ascii="Trebuchet MS" w:hAnsi="Trebuchet MS"/>
        </w:rPr>
      </w:pPr>
    </w:p>
    <w:p w:rsidR="009825C0" w:rsidRPr="00903A81" w:rsidRDefault="009825C0" w:rsidP="009825C0">
      <w:pPr>
        <w:spacing w:after="160"/>
        <w:rPr>
          <w:rFonts w:ascii="Trebuchet MS" w:hAnsi="Trebuchet MS"/>
        </w:rPr>
      </w:pPr>
    </w:p>
    <w:p w:rsidR="00E631F1" w:rsidRDefault="00801FE0" w:rsidP="00801FE0">
      <w:pPr>
        <w:tabs>
          <w:tab w:val="left" w:pos="3994"/>
        </w:tabs>
      </w:pPr>
      <w:r>
        <w:tab/>
      </w:r>
    </w:p>
    <w:p w:rsidR="00801FE0" w:rsidRDefault="00801FE0" w:rsidP="00801FE0">
      <w:pPr>
        <w:tabs>
          <w:tab w:val="left" w:pos="3994"/>
        </w:tabs>
      </w:pPr>
    </w:p>
    <w:sectPr w:rsidR="00801FE0" w:rsidSect="0022069C">
      <w:headerReference w:type="even" r:id="rId11"/>
      <w:headerReference w:type="default" r:id="rId12"/>
      <w:footerReference w:type="default" r:id="rId13"/>
      <w:headerReference w:type="first" r:id="rId14"/>
      <w:footerReference w:type="first" r:id="rId15"/>
      <w:pgSz w:w="11907" w:h="16839" w:code="9"/>
      <w:pgMar w:top="1417" w:right="1417" w:bottom="1417" w:left="1417"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156" w:rsidRDefault="00690156">
      <w:r>
        <w:separator/>
      </w:r>
    </w:p>
  </w:endnote>
  <w:endnote w:type="continuationSeparator" w:id="0">
    <w:p w:rsidR="00690156" w:rsidRDefault="0069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EE"/>
    <w:family w:val="roman"/>
    <w:pitch w:val="variable"/>
    <w:sig w:usb0="800000AF" w:usb1="5000204B"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2069C">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2069C">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7C6A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2069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2069C">
      <w:rPr>
        <w:rFonts w:ascii="Trebuchet MS" w:hAnsi="Trebuchet MS"/>
        <w:b/>
        <w:bCs/>
        <w:noProof/>
        <w:sz w:val="20"/>
        <w:szCs w:val="20"/>
      </w:rPr>
      <w:t>2</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9264"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D2340"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156" w:rsidRDefault="00690156">
      <w:r>
        <w:separator/>
      </w:r>
    </w:p>
  </w:footnote>
  <w:footnote w:type="continuationSeparator" w:id="0">
    <w:p w:rsidR="00690156" w:rsidRDefault="0069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69015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5760AFE"/>
    <w:multiLevelType w:val="hybridMultilevel"/>
    <w:tmpl w:val="175C88AA"/>
    <w:lvl w:ilvl="0" w:tplc="F1AAC682">
      <w:start w:val="1"/>
      <w:numFmt w:val="upperRoman"/>
      <w:lvlText w:val="%1."/>
      <w:lvlJc w:val="left"/>
      <w:pPr>
        <w:ind w:left="2160" w:hanging="72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8"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33"/>
  </w:num>
  <w:num w:numId="4">
    <w:abstractNumId w:val="10"/>
  </w:num>
  <w:num w:numId="5">
    <w:abstractNumId w:val="38"/>
  </w:num>
  <w:num w:numId="6">
    <w:abstractNumId w:val="4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4"/>
  </w:num>
  <w:num w:numId="18">
    <w:abstractNumId w:val="40"/>
  </w:num>
  <w:num w:numId="19">
    <w:abstractNumId w:val="45"/>
  </w:num>
  <w:num w:numId="20">
    <w:abstractNumId w:val="17"/>
  </w:num>
  <w:num w:numId="21">
    <w:abstractNumId w:val="30"/>
  </w:num>
  <w:num w:numId="22">
    <w:abstractNumId w:val="46"/>
  </w:num>
  <w:num w:numId="23">
    <w:abstractNumId w:val="11"/>
  </w:num>
  <w:num w:numId="24">
    <w:abstractNumId w:val="28"/>
  </w:num>
  <w:num w:numId="25">
    <w:abstractNumId w:val="12"/>
  </w:num>
  <w:num w:numId="26">
    <w:abstractNumId w:val="41"/>
  </w:num>
  <w:num w:numId="27">
    <w:abstractNumId w:val="14"/>
  </w:num>
  <w:num w:numId="28">
    <w:abstractNumId w:val="21"/>
  </w:num>
  <w:num w:numId="29">
    <w:abstractNumId w:val="26"/>
  </w:num>
  <w:num w:numId="30">
    <w:abstractNumId w:val="16"/>
  </w:num>
  <w:num w:numId="31">
    <w:abstractNumId w:val="19"/>
  </w:num>
  <w:num w:numId="32">
    <w:abstractNumId w:val="36"/>
  </w:num>
  <w:num w:numId="33">
    <w:abstractNumId w:val="35"/>
  </w:num>
  <w:num w:numId="34">
    <w:abstractNumId w:val="31"/>
  </w:num>
  <w:num w:numId="35">
    <w:abstractNumId w:val="29"/>
  </w:num>
  <w:num w:numId="36">
    <w:abstractNumId w:val="32"/>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3"/>
  </w:num>
  <w:num w:numId="45">
    <w:abstractNumId w:val="20"/>
  </w:num>
  <w:num w:numId="46">
    <w:abstractNumId w:val="22"/>
  </w:num>
  <w:num w:numId="47">
    <w:abstractNumId w:val="4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9C"/>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069C"/>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0156"/>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D7C084B8-6D36-4D21-8BD6-A296050F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220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875065%202624159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ct:3416837%20291971675" TargetMode="External"/><Relationship Id="rId4" Type="http://schemas.openxmlformats.org/officeDocument/2006/relationships/settings" Target="settings.xml"/><Relationship Id="rId9" Type="http://schemas.openxmlformats.org/officeDocument/2006/relationships/hyperlink" Target="act:3416837%2029197167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32136-BD71-4B0A-BE6D-BD9D9A7C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Catalina Burcea</dc:creator>
  <cp:keywords/>
  <dc:description/>
  <cp:lastModifiedBy>Catalina Burcea</cp:lastModifiedBy>
  <cp:revision>1</cp:revision>
  <cp:lastPrinted>2019-10-07T12:15:00Z</cp:lastPrinted>
  <dcterms:created xsi:type="dcterms:W3CDTF">2021-05-14T10:24:00Z</dcterms:created>
  <dcterms:modified xsi:type="dcterms:W3CDTF">2021-05-14T10:26:00Z</dcterms:modified>
</cp:coreProperties>
</file>