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2D3E" w14:textId="362D7A1F" w:rsidR="00206C48" w:rsidRDefault="006D1A8E" w:rsidP="003972B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>
        <w:rPr>
          <w:rFonts w:ascii="Trebuchet MS" w:eastAsia="Times New Roman" w:hAnsi="Trebuchet MS" w:cs="Segoe UI Historic"/>
          <w:color w:val="050505"/>
          <w:sz w:val="22"/>
        </w:rPr>
        <w:t xml:space="preserve">26 </w:t>
      </w:r>
      <w:bookmarkStart w:id="0" w:name="_GoBack"/>
      <w:bookmarkEnd w:id="0"/>
      <w:r w:rsidR="005305F9">
        <w:rPr>
          <w:rFonts w:ascii="Trebuchet MS" w:eastAsia="Times New Roman" w:hAnsi="Trebuchet MS" w:cs="Segoe UI Historic"/>
          <w:color w:val="050505"/>
          <w:sz w:val="22"/>
        </w:rPr>
        <w:t>august</w:t>
      </w:r>
      <w:r w:rsidR="006E4338" w:rsidRPr="00871362">
        <w:rPr>
          <w:rFonts w:ascii="Trebuchet MS" w:eastAsia="Times New Roman" w:hAnsi="Trebuchet MS" w:cs="Segoe UI Historic"/>
          <w:color w:val="050505"/>
          <w:sz w:val="22"/>
        </w:rPr>
        <w:t xml:space="preserve"> </w:t>
      </w:r>
      <w:r w:rsidR="00057516" w:rsidRPr="00871362">
        <w:rPr>
          <w:rFonts w:ascii="Trebuchet MS" w:eastAsia="Times New Roman" w:hAnsi="Trebuchet MS" w:cs="Segoe UI Historic"/>
          <w:color w:val="050505"/>
          <w:sz w:val="22"/>
        </w:rPr>
        <w:t>2024</w:t>
      </w:r>
    </w:p>
    <w:p w14:paraId="1388D128" w14:textId="0FDED57F" w:rsidR="00057516" w:rsidRPr="005305F9" w:rsidRDefault="00057516" w:rsidP="00057516">
      <w:pPr>
        <w:tabs>
          <w:tab w:val="left" w:pos="4536"/>
        </w:tabs>
        <w:jc w:val="center"/>
        <w:rPr>
          <w:rFonts w:ascii="Trebuchet MS" w:hAnsi="Trebuchet MS"/>
          <w:sz w:val="22"/>
          <w:szCs w:val="22"/>
        </w:rPr>
      </w:pPr>
      <w:r w:rsidRPr="005305F9">
        <w:rPr>
          <w:rFonts w:ascii="Trebuchet MS" w:hAnsi="Trebuchet MS"/>
          <w:sz w:val="22"/>
          <w:szCs w:val="22"/>
        </w:rPr>
        <w:t>Comunicat de presă</w:t>
      </w:r>
    </w:p>
    <w:p w14:paraId="02CCA944" w14:textId="69937D15" w:rsidR="00B23B21" w:rsidRDefault="00B23B21" w:rsidP="00057516">
      <w:pPr>
        <w:tabs>
          <w:tab w:val="left" w:pos="4536"/>
        </w:tabs>
        <w:jc w:val="center"/>
        <w:rPr>
          <w:rFonts w:ascii="Trebuchet MS" w:hAnsi="Trebuchet MS"/>
          <w:b/>
          <w:bCs/>
          <w:color w:val="0066B2"/>
          <w:sz w:val="22"/>
          <w:szCs w:val="22"/>
        </w:rPr>
      </w:pPr>
      <w:r w:rsidRPr="005305F9">
        <w:rPr>
          <w:rFonts w:ascii="Trebuchet MS" w:hAnsi="Trebuchet MS"/>
          <w:b/>
          <w:bCs/>
          <w:color w:val="0066B2"/>
          <w:sz w:val="22"/>
          <w:szCs w:val="22"/>
        </w:rPr>
        <w:t>„PNRR: Fonduri pentru România modernă și reformată!”</w:t>
      </w:r>
    </w:p>
    <w:p w14:paraId="7788CC87" w14:textId="77777777" w:rsidR="003972B1" w:rsidRDefault="003972B1" w:rsidP="005305F9">
      <w:pPr>
        <w:jc w:val="center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00CB2919" w14:textId="03B2A5A1" w:rsidR="005305F9" w:rsidRDefault="005305F9" w:rsidP="005305F9">
      <w:pPr>
        <w:jc w:val="center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ANFP a lansat trei inovații digitale pentru o administrație modernă</w:t>
      </w:r>
    </w:p>
    <w:p w14:paraId="5B621496" w14:textId="77777777" w:rsidR="005305F9" w:rsidRPr="005305F9" w:rsidRDefault="005305F9" w:rsidP="005305F9">
      <w:pPr>
        <w:jc w:val="center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0CF449C6" w14:textId="06754DCE" w:rsid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Agenția Națională a Funcționarilor Publici (ANFP) anunță lansarea a trei instrumente digitale menite să îmbunătățească transparența, eficiența și accesibilitatea serviciilor publice. Aceste inițiative reflectă angajamentul ANFP de a se adapta </w:t>
      </w:r>
      <w:r>
        <w:rPr>
          <w:rFonts w:ascii="Trebuchet MS" w:eastAsia="Times New Roman" w:hAnsi="Trebuchet MS" w:cs="Segoe UI Historic"/>
          <w:color w:val="050505"/>
          <w:sz w:val="22"/>
          <w:szCs w:val="22"/>
        </w:rPr>
        <w:t>nevoilor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cetățenilor și de a răspunde provocărilor unei societăți în continuă schimbare.</w:t>
      </w:r>
    </w:p>
    <w:p w14:paraId="2E210774" w14:textId="77777777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12BEF26C" w14:textId="7F217143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b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Nouă pagină web instituțională</w:t>
      </w:r>
    </w:p>
    <w:p w14:paraId="4266CEC5" w14:textId="2CEF835C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ANFP a dezvoltat o nouă pagină web care </w:t>
      </w:r>
      <w:r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va 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integr</w:t>
      </w:r>
      <w:r>
        <w:rPr>
          <w:rFonts w:ascii="Trebuchet MS" w:eastAsia="Times New Roman" w:hAnsi="Trebuchet MS" w:cs="Segoe UI Historic"/>
          <w:color w:val="050505"/>
          <w:sz w:val="22"/>
          <w:szCs w:val="22"/>
        </w:rPr>
        <w:t>a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toate platformele și instrumentele digitale existente. Noul site se distinge printr-un design modern, minimalist și atractiv, care facilitează navigarea și accesul la informațiile necesare </w:t>
      </w:r>
      <w:r>
        <w:rPr>
          <w:rFonts w:ascii="Trebuchet MS" w:eastAsia="Times New Roman" w:hAnsi="Trebuchet MS" w:cs="Segoe UI Historic"/>
          <w:color w:val="050505"/>
          <w:sz w:val="22"/>
          <w:szCs w:val="22"/>
        </w:rPr>
        <w:t>tuturor persoanelor interesate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. Această platformă va deveni un punct central de acces la servicii, informații și resurse educaționale.</w:t>
      </w:r>
    </w:p>
    <w:p w14:paraId="55B54E36" w14:textId="77777777" w:rsid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7D17403B" w14:textId="6B95323D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b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Sistem de management al documentelor – Documenta</w:t>
      </w:r>
    </w:p>
    <w:p w14:paraId="000805BB" w14:textId="46678632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O altă inovație importantă este introducerea noului sistem de management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al documentelor, D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ocumenta. Această aplicație web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va transforma modul în care ANFP gestionează documentele, permițând un control și un management eficient al 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acestora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. Documenta 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facilitează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accesul r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apid la informații relevante, contribuie la </w:t>
      </w:r>
      <w:proofErr w:type="spellStart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îmbunătăţirea</w:t>
      </w:r>
      <w:proofErr w:type="spellEnd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colaborării între departamente </w:t>
      </w:r>
      <w:proofErr w:type="spellStart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şi</w:t>
      </w:r>
      <w:proofErr w:type="spellEnd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asigur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ă,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în același timp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,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un nivel ridicat de securitate și trasabilitate a documentelor.</w:t>
      </w:r>
    </w:p>
    <w:p w14:paraId="53F750D8" w14:textId="77777777" w:rsid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4ED098CC" w14:textId="41AEDED3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b/>
          <w:color w:val="050505"/>
          <w:sz w:val="22"/>
          <w:szCs w:val="22"/>
        </w:rPr>
      </w:pPr>
      <w:proofErr w:type="spellStart"/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Chatbot</w:t>
      </w:r>
      <w:proofErr w:type="spellEnd"/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 xml:space="preserve"> interactiv</w:t>
      </w:r>
      <w:r w:rsidR="000506B6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 xml:space="preserve"> </w:t>
      </w:r>
      <w:r w:rsidR="00206C48" w:rsidRPr="000506B6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(</w:t>
      </w:r>
      <w:proofErr w:type="spellStart"/>
      <w:r w:rsidR="000506B6" w:rsidRPr="000506B6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AgentIA</w:t>
      </w:r>
      <w:proofErr w:type="spellEnd"/>
      <w:r w:rsidR="00206C48" w:rsidRPr="000506B6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)</w:t>
      </w:r>
    </w:p>
    <w:p w14:paraId="338296FD" w14:textId="7C336E07" w:rsid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În completarea acestor instrumente, ANFP 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a lansat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un </w:t>
      </w:r>
      <w:proofErr w:type="spellStart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chatbot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ul</w:t>
      </w:r>
      <w:proofErr w:type="spellEnd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r w:rsidR="00206C48" w:rsidRPr="000506B6">
        <w:rPr>
          <w:rFonts w:ascii="Trebuchet MS" w:eastAsia="Times New Roman" w:hAnsi="Trebuchet MS" w:cs="Segoe UI Historic"/>
          <w:color w:val="050505"/>
          <w:sz w:val="22"/>
          <w:szCs w:val="22"/>
        </w:rPr>
        <w:t>(</w:t>
      </w:r>
      <w:proofErr w:type="spellStart"/>
      <w:r w:rsidR="000506B6" w:rsidRPr="000506B6">
        <w:rPr>
          <w:rFonts w:ascii="Trebuchet MS" w:eastAsia="Times New Roman" w:hAnsi="Trebuchet MS" w:cs="Segoe UI Historic"/>
          <w:color w:val="050505"/>
          <w:sz w:val="22"/>
          <w:szCs w:val="22"/>
        </w:rPr>
        <w:t>AgentIA</w:t>
      </w:r>
      <w:proofErr w:type="spellEnd"/>
      <w:r w:rsidR="00206C48" w:rsidRPr="000506B6">
        <w:rPr>
          <w:rFonts w:ascii="Trebuchet MS" w:eastAsia="Times New Roman" w:hAnsi="Trebuchet MS" w:cs="Segoe UI Historic"/>
          <w:color w:val="050505"/>
          <w:sz w:val="22"/>
          <w:szCs w:val="22"/>
        </w:rPr>
        <w:t>)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- 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disponibil pe noua pagină web. Acesta permite cetățenilor, funcționarilor publici și altor persoane interesate să acceseze într-un mod interactiv baza de date de spețe legislative. </w:t>
      </w:r>
      <w:proofErr w:type="spellStart"/>
      <w:r w:rsidR="000506B6" w:rsidRPr="000506B6">
        <w:rPr>
          <w:rFonts w:ascii="Trebuchet MS" w:eastAsia="Times New Roman" w:hAnsi="Trebuchet MS" w:cs="Segoe UI Historic"/>
          <w:color w:val="050505"/>
          <w:sz w:val="22"/>
          <w:szCs w:val="22"/>
        </w:rPr>
        <w:t>AgentIA</w:t>
      </w:r>
      <w:proofErr w:type="spellEnd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va răspunde rapid și eficient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la întrebările utilizatorilor </w:t>
      </w:r>
      <w:proofErr w:type="spellStart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şi</w:t>
      </w:r>
      <w:proofErr w:type="spellEnd"/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va contribui, 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astfel</w:t>
      </w:r>
      <w:r w:rsidR="00206C48">
        <w:rPr>
          <w:rFonts w:ascii="Trebuchet MS" w:eastAsia="Times New Roman" w:hAnsi="Trebuchet MS" w:cs="Segoe UI Historic"/>
          <w:color w:val="050505"/>
          <w:sz w:val="22"/>
          <w:szCs w:val="22"/>
        </w:rPr>
        <w:t>,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la o transparență și accesibilitate mai mare a informațiilor legislative.</w:t>
      </w:r>
    </w:p>
    <w:p w14:paraId="432A41D9" w14:textId="77777777" w:rsidR="00206C48" w:rsidRPr="005305F9" w:rsidRDefault="00206C48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33E736F6" w14:textId="77777777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Prin aceste inițiative, Agenția Națională a Funcționarilor Publici își reafirmă angajamentul de a sprijini modernizarea administrației publice și de a îmbunătăți serviciile oferite cetățenilor. </w:t>
      </w:r>
    </w:p>
    <w:p w14:paraId="18965C5F" w14:textId="77777777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</w:p>
    <w:p w14:paraId="691C174F" w14:textId="2F109703" w:rsidR="005305F9" w:rsidRDefault="005305F9" w:rsidP="005305F9">
      <w:pPr>
        <w:jc w:val="both"/>
        <w:rPr>
          <w:rFonts w:ascii="Trebuchet MS" w:eastAsia="Times New Roman" w:hAnsi="Trebuchet MS" w:cs="Segoe UI Historic"/>
          <w:i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 xml:space="preserve">Felix Cozma, </w:t>
      </w:r>
      <w:proofErr w:type="spellStart"/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>preşedintele</w:t>
      </w:r>
      <w:proofErr w:type="spellEnd"/>
      <w:r w:rsidRPr="005305F9">
        <w:rPr>
          <w:rFonts w:ascii="Trebuchet MS" w:eastAsia="Times New Roman" w:hAnsi="Trebuchet MS" w:cs="Segoe UI Historic"/>
          <w:b/>
          <w:color w:val="050505"/>
          <w:sz w:val="22"/>
          <w:szCs w:val="22"/>
        </w:rPr>
        <w:t xml:space="preserve"> ANFP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: 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„Trăim o eră în care digitalizarea devine o necesitate imperativă în administrația publică. </w:t>
      </w:r>
      <w:r w:rsidR="003972B1" w:rsidRPr="003972B1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Lansarea acestor noi instrumente marchează un pas esențial în direcția modernizării și eficientizării serviciilor pe care le oferim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. Suntem dedicați </w:t>
      </w:r>
      <w:r w:rsidR="003972B1" w:rsidRPr="003972B1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îmbunătățirii constante a serviciilor publice și adaptării acestora la nevoile dinamice ale societății contemporane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. Aceste instrumente </w:t>
      </w:r>
      <w:r w:rsidR="003972B1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reprezintă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 doar începutul; ne </w:t>
      </w:r>
      <w:r w:rsidR="003972B1" w:rsidRPr="003972B1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asumăm responsabilitatea de a continua să inovăm și să dezvoltăm soluții 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care să răspundă așteptărilor tuturor celor care interacționează cu ANFP. Drumul nostru către o administrație publică modernă și </w:t>
      </w:r>
      <w:r w:rsidR="003972B1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eficientă continuă! Vă invit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 să explorați </w:t>
      </w:r>
      <w:r w:rsidR="00206C48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toate</w:t>
      </w:r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 resurse</w:t>
      </w:r>
      <w:r w:rsidR="00206C48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 xml:space="preserve">le pe care vi le punem la </w:t>
      </w:r>
      <w:proofErr w:type="spellStart"/>
      <w:r w:rsidR="00206C48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dispoziţie</w:t>
      </w:r>
      <w:proofErr w:type="spellEnd"/>
      <w:r w:rsidRPr="005305F9">
        <w:rPr>
          <w:rFonts w:ascii="Trebuchet MS" w:eastAsia="Times New Roman" w:hAnsi="Trebuchet MS" w:cs="Segoe UI Historic"/>
          <w:i/>
          <w:color w:val="050505"/>
          <w:sz w:val="22"/>
          <w:szCs w:val="22"/>
        </w:rPr>
        <w:t>!”</w:t>
      </w:r>
    </w:p>
    <w:p w14:paraId="500734A0" w14:textId="1CB57940" w:rsidR="005305F9" w:rsidRPr="005305F9" w:rsidRDefault="005305F9" w:rsidP="005305F9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Noua pagina web a ANFP poate fi accesată la adresa </w:t>
      </w:r>
      <w:hyperlink r:id="rId8" w:history="1">
        <w:r w:rsidRPr="005305F9">
          <w:rPr>
            <w:rStyle w:val="Hyperlink"/>
            <w:rFonts w:ascii="Trebuchet MS" w:eastAsia="Times New Roman" w:hAnsi="Trebuchet MS" w:cs="Segoe UI Historic"/>
            <w:sz w:val="22"/>
            <w:szCs w:val="22"/>
          </w:rPr>
          <w:t>www.anfp.gov.ro</w:t>
        </w:r>
      </w:hyperlink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.</w:t>
      </w:r>
    </w:p>
    <w:p w14:paraId="3A7FD08C" w14:textId="67127C4E" w:rsidR="005305F9" w:rsidRDefault="003972B1" w:rsidP="003972B1">
      <w:pPr>
        <w:jc w:val="center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***</w:t>
      </w:r>
    </w:p>
    <w:p w14:paraId="2FC9A804" w14:textId="42C051E4" w:rsidR="005305F9" w:rsidRPr="005305F9" w:rsidRDefault="005305F9" w:rsidP="00871362">
      <w:pPr>
        <w:jc w:val="both"/>
        <w:rPr>
          <w:rFonts w:ascii="Trebuchet MS" w:eastAsia="Times New Roman" w:hAnsi="Trebuchet MS" w:cs="Segoe UI Historic"/>
          <w:color w:val="050505"/>
          <w:sz w:val="22"/>
          <w:szCs w:val="22"/>
        </w:rPr>
      </w:pP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Instrumentele au fost realizate prin intermediul proiectului pentru implementarea Jalonului nr. 177 – “S-au instituit și sunt operaționale platforme interactive și </w:t>
      </w:r>
      <w:proofErr w:type="spellStart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colaborative</w:t>
      </w:r>
      <w:proofErr w:type="spellEnd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pentru managementul standardizat al resurselor umane în administrația publică centrala”, Investiția 10 - Transformarea digitală în managementul funcției publice, Componenta C7. Transformarea digitală din cadrul Planul Național de Redresare </w:t>
      </w:r>
      <w:proofErr w:type="spellStart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şi</w:t>
      </w:r>
      <w:proofErr w:type="spellEnd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</w:t>
      </w:r>
      <w:proofErr w:type="spellStart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Rezili</w:t>
      </w:r>
      <w:r w:rsidR="006D02D4">
        <w:rPr>
          <w:rFonts w:ascii="Trebuchet MS" w:eastAsia="Times New Roman" w:hAnsi="Trebuchet MS" w:cs="Segoe UI Historic"/>
          <w:color w:val="050505"/>
          <w:sz w:val="22"/>
          <w:szCs w:val="22"/>
        </w:rPr>
        <w:t>e</w:t>
      </w:r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>nţă</w:t>
      </w:r>
      <w:proofErr w:type="spellEnd"/>
      <w:r w:rsidRPr="005305F9">
        <w:rPr>
          <w:rFonts w:ascii="Trebuchet MS" w:eastAsia="Times New Roman" w:hAnsi="Trebuchet MS" w:cs="Segoe UI Historic"/>
          <w:color w:val="050505"/>
          <w:sz w:val="22"/>
          <w:szCs w:val="22"/>
        </w:rPr>
        <w:t xml:space="preserve"> (PNRR).</w:t>
      </w:r>
    </w:p>
    <w:p w14:paraId="2D32F4DE" w14:textId="16E8AE1C" w:rsidR="005305F9" w:rsidRDefault="005305F9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p w14:paraId="7B700027" w14:textId="3E5A366C" w:rsidR="00206C48" w:rsidRDefault="00206C48" w:rsidP="00871362">
      <w:pPr>
        <w:jc w:val="both"/>
        <w:rPr>
          <w:rFonts w:ascii="Trebuchet MS" w:eastAsia="Times New Roman" w:hAnsi="Trebuchet MS" w:cs="Segoe UI Historic"/>
          <w:color w:val="050505"/>
          <w:sz w:val="20"/>
          <w:szCs w:val="20"/>
        </w:rPr>
      </w:pPr>
    </w:p>
    <w:sectPr w:rsidR="00206C48" w:rsidSect="003972B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37" w:right="709" w:bottom="454" w:left="1276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71CF" w14:textId="77777777" w:rsidR="00CA55E5" w:rsidRDefault="00CA55E5">
      <w:r>
        <w:separator/>
      </w:r>
    </w:p>
  </w:endnote>
  <w:endnote w:type="continuationSeparator" w:id="0">
    <w:p w14:paraId="44865080" w14:textId="77777777" w:rsidR="00CA55E5" w:rsidRDefault="00CA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charset w:val="00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4CAA5A62" w:rsidR="00801FE0" w:rsidRPr="00C43C17" w:rsidRDefault="006D02D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6D02D4">
      <w:rPr>
        <w:rFonts w:ascii="Trebuchet MS" w:hAnsi="Trebuchet MS"/>
        <w:b/>
        <w:bCs/>
        <w:noProof/>
        <w:sz w:val="20"/>
        <w:szCs w:val="20"/>
        <w:lang w:val="en-US"/>
      </w:rPr>
      <w:drawing>
        <wp:inline distT="0" distB="0" distL="0" distR="0" wp14:anchorId="03646FDC" wp14:editId="325CD106">
          <wp:extent cx="6300470" cy="714159"/>
          <wp:effectExtent l="0" t="0" r="5080" b="0"/>
          <wp:docPr id="3" name="Picture 3" descr="C:\Users\elena.dragos\Desktop\comunicat de presă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ena.dragos\Desktop\comunicat de presă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1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1FE0"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="00801FE0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972B1">
      <w:rPr>
        <w:rFonts w:ascii="Trebuchet MS" w:hAnsi="Trebuchet MS"/>
        <w:b/>
        <w:bCs/>
        <w:noProof/>
        <w:sz w:val="20"/>
        <w:szCs w:val="20"/>
      </w:rPr>
      <w:t>2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="00801FE0"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972B1">
      <w:rPr>
        <w:rFonts w:ascii="Trebuchet MS" w:hAnsi="Trebuchet MS"/>
        <w:b/>
        <w:bCs/>
        <w:noProof/>
        <w:sz w:val="20"/>
        <w:szCs w:val="20"/>
      </w:rPr>
      <w:t>2</w:t>
    </w:r>
    <w:r w:rsidR="00801FE0"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171CC0D" w14:textId="5C290731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283B" w14:textId="4CADE49D" w:rsidR="00801FE0" w:rsidRPr="00AB74DF" w:rsidRDefault="006D02D4" w:rsidP="006D02D4">
    <w:pPr>
      <w:pStyle w:val="NormalWeb"/>
      <w:jc w:val="center"/>
    </w:pPr>
    <w:r w:rsidRPr="006D02D4">
      <w:rPr>
        <w:noProof/>
      </w:rPr>
      <w:drawing>
        <wp:inline distT="0" distB="0" distL="0" distR="0" wp14:anchorId="32D7F8DC" wp14:editId="7506C0B1">
          <wp:extent cx="6300470" cy="714159"/>
          <wp:effectExtent l="0" t="0" r="5080" b="0"/>
          <wp:docPr id="1" name="Picture 1" descr="C:\Users\elena.dragos\Desktop\comunicat de presă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comunicat de presă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1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DE21" w14:textId="77777777" w:rsidR="00CA55E5" w:rsidRDefault="00CA55E5">
      <w:r>
        <w:separator/>
      </w:r>
    </w:p>
  </w:footnote>
  <w:footnote w:type="continuationSeparator" w:id="0">
    <w:p w14:paraId="20485A4F" w14:textId="77777777" w:rsidR="00CA55E5" w:rsidRDefault="00CA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C06D" w14:textId="77777777" w:rsidR="002045A2" w:rsidRDefault="00CA55E5">
    <w:pPr>
      <w:pStyle w:val="Header"/>
    </w:pPr>
    <w:r>
      <w:rPr>
        <w:noProof/>
        <w:lang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AF406" w14:textId="002BB5B8" w:rsidR="008F181B" w:rsidRDefault="00206C48" w:rsidP="008A6E07">
    <w:pPr>
      <w:pStyle w:val="Header"/>
      <w:ind w:left="-284"/>
    </w:pPr>
    <w:r>
      <w:rPr>
        <w:noProof/>
        <w:lang w:val="en-US" w:eastAsia="en-US"/>
      </w:rPr>
      <w:drawing>
        <wp:inline distT="0" distB="0" distL="0" distR="0" wp14:anchorId="77FA037F" wp14:editId="6AACBF17">
          <wp:extent cx="6791325" cy="63373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BD55B" w14:textId="77C3AA07" w:rsidR="00801FE0" w:rsidRPr="004553B8" w:rsidRDefault="00A00608" w:rsidP="00B81568">
    <w:pPr>
      <w:pStyle w:val="Header"/>
      <w:ind w:left="-1134"/>
    </w:pPr>
    <w:r w:rsidRPr="00A00608"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1FCF4C4B" wp14:editId="6EAE98DC">
          <wp:simplePos x="0" y="0"/>
          <wp:positionH relativeFrom="column">
            <wp:posOffset>-286385</wp:posOffset>
          </wp:positionH>
          <wp:positionV relativeFrom="paragraph">
            <wp:posOffset>76835</wp:posOffset>
          </wp:positionV>
          <wp:extent cx="6791325" cy="632460"/>
          <wp:effectExtent l="0" t="0" r="9525" b="0"/>
          <wp:wrapTight wrapText="bothSides">
            <wp:wrapPolygon edited="0">
              <wp:start x="0" y="0"/>
              <wp:lineTo x="0" y="20819"/>
              <wp:lineTo x="21570" y="20819"/>
              <wp:lineTo x="21570" y="0"/>
              <wp:lineTo x="0" y="0"/>
            </wp:wrapPolygon>
          </wp:wrapTight>
          <wp:docPr id="4" name="Picture 4" descr="C:\Users\elena.dragos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an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1311A2D"/>
    <w:multiLevelType w:val="hybridMultilevel"/>
    <w:tmpl w:val="AD72A512"/>
    <w:lvl w:ilvl="0" w:tplc="B5B42E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92523BF"/>
    <w:multiLevelType w:val="hybridMultilevel"/>
    <w:tmpl w:val="168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4F3710"/>
    <w:multiLevelType w:val="hybridMultilevel"/>
    <w:tmpl w:val="1EEEDB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7"/>
  </w:num>
  <w:num w:numId="20">
    <w:abstractNumId w:val="17"/>
  </w:num>
  <w:num w:numId="21">
    <w:abstractNumId w:val="31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6"/>
  </w:num>
  <w:num w:numId="43">
    <w:abstractNumId w:val="27"/>
  </w:num>
  <w:num w:numId="44">
    <w:abstractNumId w:val="44"/>
  </w:num>
  <w:num w:numId="45">
    <w:abstractNumId w:val="20"/>
  </w:num>
  <w:num w:numId="46">
    <w:abstractNumId w:val="23"/>
  </w:num>
  <w:num w:numId="47">
    <w:abstractNumId w:val="45"/>
  </w:num>
  <w:num w:numId="48">
    <w:abstractNumId w:val="24"/>
  </w:num>
  <w:num w:numId="49">
    <w:abstractNumId w:val="2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16C0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6B6"/>
    <w:rsid w:val="000520A2"/>
    <w:rsid w:val="0005215B"/>
    <w:rsid w:val="00054A7F"/>
    <w:rsid w:val="00055653"/>
    <w:rsid w:val="00057516"/>
    <w:rsid w:val="00062028"/>
    <w:rsid w:val="00063DCF"/>
    <w:rsid w:val="00065E98"/>
    <w:rsid w:val="00074AA3"/>
    <w:rsid w:val="0008183E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5D71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360E"/>
    <w:rsid w:val="00177A24"/>
    <w:rsid w:val="0018080E"/>
    <w:rsid w:val="001939B5"/>
    <w:rsid w:val="0019430A"/>
    <w:rsid w:val="0019780B"/>
    <w:rsid w:val="001A64A5"/>
    <w:rsid w:val="001A6FD7"/>
    <w:rsid w:val="001B049C"/>
    <w:rsid w:val="001B3515"/>
    <w:rsid w:val="001B5FEA"/>
    <w:rsid w:val="001C204D"/>
    <w:rsid w:val="001C3C2E"/>
    <w:rsid w:val="001C48A9"/>
    <w:rsid w:val="001D1010"/>
    <w:rsid w:val="001D1BBD"/>
    <w:rsid w:val="001D2521"/>
    <w:rsid w:val="001D5A40"/>
    <w:rsid w:val="001D5E15"/>
    <w:rsid w:val="001D6E73"/>
    <w:rsid w:val="001E171A"/>
    <w:rsid w:val="001E7472"/>
    <w:rsid w:val="001E7DB6"/>
    <w:rsid w:val="001F14BF"/>
    <w:rsid w:val="001F6BE1"/>
    <w:rsid w:val="002045A2"/>
    <w:rsid w:val="00206C48"/>
    <w:rsid w:val="002114F5"/>
    <w:rsid w:val="00211991"/>
    <w:rsid w:val="0021435A"/>
    <w:rsid w:val="00217080"/>
    <w:rsid w:val="00224CCC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2FE6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4655"/>
    <w:rsid w:val="002963BA"/>
    <w:rsid w:val="00296FC2"/>
    <w:rsid w:val="002A3578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D6C84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972B1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51F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68D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6E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CE1"/>
    <w:rsid w:val="004B60C7"/>
    <w:rsid w:val="004B6663"/>
    <w:rsid w:val="004B7103"/>
    <w:rsid w:val="004B7EF3"/>
    <w:rsid w:val="004B7F21"/>
    <w:rsid w:val="004C037D"/>
    <w:rsid w:val="004C1877"/>
    <w:rsid w:val="004C44B7"/>
    <w:rsid w:val="004C4A91"/>
    <w:rsid w:val="004D0257"/>
    <w:rsid w:val="004D6960"/>
    <w:rsid w:val="004E6C3C"/>
    <w:rsid w:val="004E76F5"/>
    <w:rsid w:val="004F631F"/>
    <w:rsid w:val="004F74CC"/>
    <w:rsid w:val="00501F2C"/>
    <w:rsid w:val="00501F69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5F9"/>
    <w:rsid w:val="00531D11"/>
    <w:rsid w:val="00532168"/>
    <w:rsid w:val="00532390"/>
    <w:rsid w:val="0053278A"/>
    <w:rsid w:val="0053306B"/>
    <w:rsid w:val="00535FC3"/>
    <w:rsid w:val="00537428"/>
    <w:rsid w:val="00547DDD"/>
    <w:rsid w:val="00551011"/>
    <w:rsid w:val="00561F52"/>
    <w:rsid w:val="00565C08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1FF8"/>
    <w:rsid w:val="005D3E50"/>
    <w:rsid w:val="005D4CC5"/>
    <w:rsid w:val="005E0412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1050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70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A06"/>
    <w:rsid w:val="006B5320"/>
    <w:rsid w:val="006C2B48"/>
    <w:rsid w:val="006C35A1"/>
    <w:rsid w:val="006C7442"/>
    <w:rsid w:val="006D02D4"/>
    <w:rsid w:val="006D1A8E"/>
    <w:rsid w:val="006D2567"/>
    <w:rsid w:val="006D6A91"/>
    <w:rsid w:val="006D7B63"/>
    <w:rsid w:val="006E1E97"/>
    <w:rsid w:val="006E4338"/>
    <w:rsid w:val="006E6C70"/>
    <w:rsid w:val="006E7F5F"/>
    <w:rsid w:val="006F1E0F"/>
    <w:rsid w:val="006F642D"/>
    <w:rsid w:val="007017A1"/>
    <w:rsid w:val="0070372E"/>
    <w:rsid w:val="0070491C"/>
    <w:rsid w:val="0070569C"/>
    <w:rsid w:val="00706A18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1E9A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B62"/>
    <w:rsid w:val="007B7950"/>
    <w:rsid w:val="007C0195"/>
    <w:rsid w:val="007D0CDD"/>
    <w:rsid w:val="007D460E"/>
    <w:rsid w:val="007D561E"/>
    <w:rsid w:val="007D676E"/>
    <w:rsid w:val="007D7EE6"/>
    <w:rsid w:val="007E2B78"/>
    <w:rsid w:val="007E5574"/>
    <w:rsid w:val="007E5763"/>
    <w:rsid w:val="007E732F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1714"/>
    <w:rsid w:val="0082325E"/>
    <w:rsid w:val="0082435C"/>
    <w:rsid w:val="0082491D"/>
    <w:rsid w:val="0082620F"/>
    <w:rsid w:val="00831C3B"/>
    <w:rsid w:val="008329EA"/>
    <w:rsid w:val="0083576E"/>
    <w:rsid w:val="00837402"/>
    <w:rsid w:val="0084206C"/>
    <w:rsid w:val="00842B95"/>
    <w:rsid w:val="00844BAD"/>
    <w:rsid w:val="0084672C"/>
    <w:rsid w:val="00847008"/>
    <w:rsid w:val="008475C0"/>
    <w:rsid w:val="00850783"/>
    <w:rsid w:val="00850F42"/>
    <w:rsid w:val="00854A2F"/>
    <w:rsid w:val="008625E5"/>
    <w:rsid w:val="00862953"/>
    <w:rsid w:val="00864283"/>
    <w:rsid w:val="008663AB"/>
    <w:rsid w:val="00870015"/>
    <w:rsid w:val="00871362"/>
    <w:rsid w:val="0087378C"/>
    <w:rsid w:val="00874766"/>
    <w:rsid w:val="008805D9"/>
    <w:rsid w:val="00881DA4"/>
    <w:rsid w:val="00884C3D"/>
    <w:rsid w:val="0088576A"/>
    <w:rsid w:val="00887213"/>
    <w:rsid w:val="008917E0"/>
    <w:rsid w:val="00892C51"/>
    <w:rsid w:val="00893634"/>
    <w:rsid w:val="00895FCB"/>
    <w:rsid w:val="008A41F4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D7F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360"/>
    <w:rsid w:val="00940825"/>
    <w:rsid w:val="009461DE"/>
    <w:rsid w:val="00946B4C"/>
    <w:rsid w:val="00946E5A"/>
    <w:rsid w:val="009532C6"/>
    <w:rsid w:val="00954A34"/>
    <w:rsid w:val="00955E7B"/>
    <w:rsid w:val="00956114"/>
    <w:rsid w:val="00962615"/>
    <w:rsid w:val="00963DBE"/>
    <w:rsid w:val="009662F1"/>
    <w:rsid w:val="00967FE3"/>
    <w:rsid w:val="00973990"/>
    <w:rsid w:val="00976BF3"/>
    <w:rsid w:val="009773E7"/>
    <w:rsid w:val="0097757A"/>
    <w:rsid w:val="00980D73"/>
    <w:rsid w:val="009825C0"/>
    <w:rsid w:val="00982BC0"/>
    <w:rsid w:val="00983A75"/>
    <w:rsid w:val="00986DB8"/>
    <w:rsid w:val="009904C0"/>
    <w:rsid w:val="009914EA"/>
    <w:rsid w:val="00991C45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0608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1B58"/>
    <w:rsid w:val="00AA6696"/>
    <w:rsid w:val="00AA7451"/>
    <w:rsid w:val="00AB74D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2FBA"/>
    <w:rsid w:val="00AF320A"/>
    <w:rsid w:val="00AF6C5D"/>
    <w:rsid w:val="00AF6EA2"/>
    <w:rsid w:val="00B019CD"/>
    <w:rsid w:val="00B07B0E"/>
    <w:rsid w:val="00B117DA"/>
    <w:rsid w:val="00B1260C"/>
    <w:rsid w:val="00B13053"/>
    <w:rsid w:val="00B15913"/>
    <w:rsid w:val="00B209CE"/>
    <w:rsid w:val="00B21A70"/>
    <w:rsid w:val="00B220BA"/>
    <w:rsid w:val="00B23B21"/>
    <w:rsid w:val="00B27381"/>
    <w:rsid w:val="00B370AF"/>
    <w:rsid w:val="00B42F98"/>
    <w:rsid w:val="00B47D86"/>
    <w:rsid w:val="00B50DAA"/>
    <w:rsid w:val="00B51DBF"/>
    <w:rsid w:val="00B567F6"/>
    <w:rsid w:val="00B63A77"/>
    <w:rsid w:val="00B66843"/>
    <w:rsid w:val="00B706FC"/>
    <w:rsid w:val="00B71EAA"/>
    <w:rsid w:val="00B74662"/>
    <w:rsid w:val="00B74F98"/>
    <w:rsid w:val="00B75D7F"/>
    <w:rsid w:val="00B80274"/>
    <w:rsid w:val="00B81568"/>
    <w:rsid w:val="00B83BF0"/>
    <w:rsid w:val="00B92990"/>
    <w:rsid w:val="00B936F6"/>
    <w:rsid w:val="00BA1EFA"/>
    <w:rsid w:val="00BA3383"/>
    <w:rsid w:val="00BA471F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0D64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55E5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1302"/>
    <w:rsid w:val="00D04345"/>
    <w:rsid w:val="00D049DC"/>
    <w:rsid w:val="00D06FEC"/>
    <w:rsid w:val="00D11702"/>
    <w:rsid w:val="00D14642"/>
    <w:rsid w:val="00D21340"/>
    <w:rsid w:val="00D2463A"/>
    <w:rsid w:val="00D25CEE"/>
    <w:rsid w:val="00D2638E"/>
    <w:rsid w:val="00D3142F"/>
    <w:rsid w:val="00D356B1"/>
    <w:rsid w:val="00D4084F"/>
    <w:rsid w:val="00D41D17"/>
    <w:rsid w:val="00D51AFF"/>
    <w:rsid w:val="00D53AD3"/>
    <w:rsid w:val="00D53CBE"/>
    <w:rsid w:val="00D545AC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F40"/>
    <w:rsid w:val="00DC1A7C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83A"/>
    <w:rsid w:val="00DF661A"/>
    <w:rsid w:val="00DF7A52"/>
    <w:rsid w:val="00E010CF"/>
    <w:rsid w:val="00E03AC3"/>
    <w:rsid w:val="00E057A2"/>
    <w:rsid w:val="00E1273B"/>
    <w:rsid w:val="00E128E4"/>
    <w:rsid w:val="00E16E78"/>
    <w:rsid w:val="00E20570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6F0A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4E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489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76B"/>
    <w:rsid w:val="00F54D39"/>
    <w:rsid w:val="00F56B8D"/>
    <w:rsid w:val="00F6208C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492"/>
    <w:rsid w:val="00F9585C"/>
    <w:rsid w:val="00FA2A01"/>
    <w:rsid w:val="00FA455F"/>
    <w:rsid w:val="00FA535C"/>
    <w:rsid w:val="00FB637A"/>
    <w:rsid w:val="00FB7193"/>
    <w:rsid w:val="00FC129E"/>
    <w:rsid w:val="00FC62FC"/>
    <w:rsid w:val="00FD23CD"/>
    <w:rsid w:val="00FD47FA"/>
    <w:rsid w:val="00FE13DC"/>
    <w:rsid w:val="00FE347A"/>
    <w:rsid w:val="00FE3E56"/>
    <w:rsid w:val="00FE61A3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DBEAA9"/>
  <w15:docId w15:val="{F6F82EC6-8B12-4B03-ACD9-6774A62D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9299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815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1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1568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1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1568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83BF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5FFD-3F39-4983-ADD4-860FDB87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Florina Elena Dragos</cp:lastModifiedBy>
  <cp:revision>2</cp:revision>
  <cp:lastPrinted>2024-01-29T14:03:00Z</cp:lastPrinted>
  <dcterms:created xsi:type="dcterms:W3CDTF">2024-08-26T10:15:00Z</dcterms:created>
  <dcterms:modified xsi:type="dcterms:W3CDTF">2024-08-26T10:15:00Z</dcterms:modified>
</cp:coreProperties>
</file>