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99E" w:rsidRPr="00CE5141" w:rsidRDefault="000C199E" w:rsidP="006D4F6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</w:p>
    <w:p w:rsidR="004034A0" w:rsidRPr="00CE5141" w:rsidRDefault="004034A0" w:rsidP="006D4F64">
      <w:pPr>
        <w:spacing w:after="0" w:line="240" w:lineRule="auto"/>
        <w:jc w:val="center"/>
        <w:rPr>
          <w:rFonts w:asciiTheme="minorHAnsi" w:hAnsiTheme="minorHAnsi" w:cstheme="minorHAnsi"/>
          <w:b/>
          <w:color w:val="4F81BD" w:themeColor="accent1"/>
        </w:rPr>
      </w:pPr>
    </w:p>
    <w:p w:rsidR="004034A0" w:rsidRPr="00CE5141" w:rsidRDefault="004034A0" w:rsidP="006D4F64">
      <w:pPr>
        <w:spacing w:after="0" w:line="240" w:lineRule="auto"/>
        <w:jc w:val="center"/>
        <w:rPr>
          <w:rFonts w:asciiTheme="minorHAnsi" w:hAnsiTheme="minorHAnsi" w:cstheme="minorHAnsi"/>
          <w:b/>
          <w:color w:val="4F81BD" w:themeColor="accent1"/>
        </w:rPr>
      </w:pPr>
    </w:p>
    <w:p w:rsidR="004034A0" w:rsidRPr="00CE5141" w:rsidRDefault="004034A0" w:rsidP="006D4F64">
      <w:pPr>
        <w:spacing w:after="0" w:line="240" w:lineRule="auto"/>
        <w:jc w:val="center"/>
        <w:rPr>
          <w:rFonts w:asciiTheme="minorHAnsi" w:hAnsiTheme="minorHAnsi" w:cstheme="minorHAnsi"/>
          <w:b/>
          <w:color w:val="4F81BD" w:themeColor="accent1"/>
        </w:rPr>
      </w:pPr>
    </w:p>
    <w:p w:rsidR="00CE5141" w:rsidRDefault="00CE5141" w:rsidP="006D4F64">
      <w:pPr>
        <w:spacing w:after="0" w:line="240" w:lineRule="auto"/>
        <w:jc w:val="center"/>
        <w:rPr>
          <w:rFonts w:asciiTheme="minorHAnsi" w:hAnsiTheme="minorHAnsi" w:cstheme="minorHAnsi"/>
          <w:b/>
          <w:color w:val="4F81BD" w:themeColor="accent1"/>
        </w:rPr>
      </w:pPr>
      <w:r>
        <w:rPr>
          <w:noProof/>
          <w:color w:val="0000FF"/>
          <w:lang w:eastAsia="ro-RO"/>
        </w:rPr>
        <w:drawing>
          <wp:anchor distT="0" distB="0" distL="114300" distR="114300" simplePos="0" relativeHeight="251659264" behindDoc="1" locked="0" layoutInCell="1" allowOverlap="1" wp14:anchorId="6E2C067B" wp14:editId="2A018270">
            <wp:simplePos x="0" y="0"/>
            <wp:positionH relativeFrom="column">
              <wp:posOffset>4328795</wp:posOffset>
            </wp:positionH>
            <wp:positionV relativeFrom="paragraph">
              <wp:posOffset>81915</wp:posOffset>
            </wp:positionV>
            <wp:extent cx="1609725" cy="1933575"/>
            <wp:effectExtent l="0" t="95250" r="123825" b="219075"/>
            <wp:wrapTight wrapText="bothSides">
              <wp:wrapPolygon edited="0">
                <wp:start x="5112" y="-1064"/>
                <wp:lineTo x="4346" y="-638"/>
                <wp:lineTo x="2301" y="1915"/>
                <wp:lineTo x="1789" y="16599"/>
                <wp:lineTo x="2812" y="19791"/>
                <wp:lineTo x="15337" y="23196"/>
                <wp:lineTo x="16615" y="23834"/>
                <wp:lineTo x="17638" y="23834"/>
                <wp:lineTo x="19427" y="23196"/>
                <wp:lineTo x="21728" y="20642"/>
                <wp:lineTo x="21472" y="16386"/>
                <wp:lineTo x="22495" y="16386"/>
                <wp:lineTo x="23006" y="-638"/>
                <wp:lineTo x="9202" y="-1064"/>
                <wp:lineTo x="5112" y="-1064"/>
              </wp:wrapPolygon>
            </wp:wrapTight>
            <wp:docPr id="2" name="irc_mi" descr="http://www.avocat-firme.info/wp-content/uploads/2013/01/infiintare-firma-intrebari-si-raspunsuri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avocat-firme.info/wp-content/uploads/2013/01/infiintare-firma-intrebari-si-raspunsuri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9335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perspectiveHeroicExtremeLeftFacing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4F64" w:rsidRPr="00CE5141" w:rsidRDefault="006D4F64" w:rsidP="006D4F64">
      <w:pPr>
        <w:spacing w:after="0" w:line="240" w:lineRule="auto"/>
        <w:jc w:val="center"/>
        <w:rPr>
          <w:rFonts w:asciiTheme="minorHAnsi" w:hAnsiTheme="minorHAnsi" w:cstheme="minorHAnsi"/>
          <w:b/>
          <w:color w:val="4F81BD" w:themeColor="accent1"/>
        </w:rPr>
      </w:pPr>
    </w:p>
    <w:p w:rsidR="00CE5141" w:rsidRDefault="00CE5141" w:rsidP="006D4F64">
      <w:pPr>
        <w:spacing w:after="0" w:line="240" w:lineRule="auto"/>
        <w:jc w:val="center"/>
        <w:rPr>
          <w:rFonts w:asciiTheme="minorHAnsi" w:hAnsiTheme="minorHAnsi" w:cstheme="minorHAnsi"/>
          <w:b/>
          <w:color w:val="4F81BD" w:themeColor="accent1"/>
          <w:sz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CE5141" w:rsidRPr="00CE5141" w:rsidRDefault="00CE5141" w:rsidP="006D4F64">
      <w:pPr>
        <w:spacing w:after="0" w:line="240" w:lineRule="auto"/>
        <w:jc w:val="center"/>
        <w:rPr>
          <w:rFonts w:asciiTheme="minorHAnsi" w:hAnsiTheme="minorHAnsi" w:cstheme="minorHAnsi"/>
          <w:b/>
          <w:color w:val="4F81BD" w:themeColor="accent1"/>
          <w:sz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0C199E" w:rsidRPr="00CE5141" w:rsidRDefault="000C199E" w:rsidP="006D4F64">
      <w:pPr>
        <w:spacing w:after="0" w:line="240" w:lineRule="auto"/>
        <w:jc w:val="center"/>
        <w:rPr>
          <w:rFonts w:asciiTheme="minorHAnsi" w:hAnsiTheme="minorHAnsi" w:cstheme="minorHAnsi"/>
          <w:b/>
          <w:color w:val="31849B" w:themeColor="accent5" w:themeShade="BF"/>
          <w:sz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CE5141">
        <w:rPr>
          <w:rFonts w:asciiTheme="minorHAnsi" w:hAnsiTheme="minorHAnsi" w:cstheme="minorHAnsi"/>
          <w:b/>
          <w:color w:val="31849B" w:themeColor="accent5" w:themeShade="BF"/>
          <w:sz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ÎNTREBĂRI ȘI RĂSPUNSURI CU PRIVIRE LA IMPLEMENT</w:t>
      </w:r>
      <w:r w:rsidR="00997621">
        <w:rPr>
          <w:rFonts w:asciiTheme="minorHAnsi" w:hAnsiTheme="minorHAnsi" w:cstheme="minorHAnsi"/>
          <w:b/>
          <w:color w:val="31849B" w:themeColor="accent5" w:themeShade="BF"/>
          <w:sz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A</w:t>
      </w:r>
      <w:r w:rsidRPr="00CE5141">
        <w:rPr>
          <w:rFonts w:asciiTheme="minorHAnsi" w:hAnsiTheme="minorHAnsi" w:cstheme="minorHAnsi"/>
          <w:b/>
          <w:color w:val="31849B" w:themeColor="accent5" w:themeShade="BF"/>
          <w:sz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REA SEMNĂTURII ELECTRONICE LA NIVEL NAȚIONAL ÎN CADRUL PROIECTULUI e-ANFP</w:t>
      </w:r>
    </w:p>
    <w:p w:rsidR="00CE5141" w:rsidRPr="00CE5141" w:rsidRDefault="00CE5141" w:rsidP="006D4F64">
      <w:pPr>
        <w:spacing w:after="0" w:line="240" w:lineRule="auto"/>
        <w:jc w:val="center"/>
        <w:rPr>
          <w:rFonts w:asciiTheme="minorHAnsi" w:hAnsiTheme="minorHAnsi" w:cstheme="minorHAnsi"/>
          <w:b/>
          <w:color w:val="4F81BD" w:themeColor="accent1"/>
          <w:sz w:val="28"/>
        </w:rPr>
      </w:pPr>
    </w:p>
    <w:p w:rsidR="00CE5141" w:rsidRPr="00CE5141" w:rsidRDefault="00CE5141" w:rsidP="006D4F64">
      <w:pPr>
        <w:spacing w:after="0" w:line="240" w:lineRule="auto"/>
        <w:jc w:val="center"/>
        <w:rPr>
          <w:rFonts w:asciiTheme="minorHAnsi" w:hAnsiTheme="minorHAnsi" w:cstheme="minorHAnsi"/>
          <w:b/>
          <w:color w:val="4F81BD" w:themeColor="accent1"/>
          <w:sz w:val="24"/>
        </w:rPr>
      </w:pPr>
    </w:p>
    <w:p w:rsidR="00145CB2" w:rsidRDefault="00145CB2" w:rsidP="006D4F64">
      <w:pPr>
        <w:spacing w:after="0" w:line="240" w:lineRule="auto"/>
        <w:jc w:val="center"/>
        <w:rPr>
          <w:rFonts w:asciiTheme="minorHAnsi" w:hAnsiTheme="minorHAnsi" w:cstheme="minorHAnsi"/>
          <w:b/>
          <w:color w:val="4F81BD" w:themeColor="accent1"/>
        </w:rPr>
      </w:pPr>
    </w:p>
    <w:p w:rsidR="00CE5141" w:rsidRDefault="00CE5141" w:rsidP="006D4F64">
      <w:pPr>
        <w:spacing w:after="0" w:line="240" w:lineRule="auto"/>
        <w:jc w:val="center"/>
        <w:rPr>
          <w:rFonts w:asciiTheme="minorHAnsi" w:hAnsiTheme="minorHAnsi" w:cstheme="minorHAnsi"/>
          <w:b/>
          <w:color w:val="4F81BD" w:themeColor="accent1"/>
        </w:rPr>
      </w:pPr>
    </w:p>
    <w:p w:rsidR="00CE5141" w:rsidRPr="00CE5141" w:rsidRDefault="00CE5141" w:rsidP="006D4F64">
      <w:pPr>
        <w:spacing w:after="0" w:line="240" w:lineRule="auto"/>
        <w:jc w:val="center"/>
        <w:rPr>
          <w:rFonts w:asciiTheme="minorHAnsi" w:hAnsiTheme="minorHAnsi" w:cstheme="minorHAnsi"/>
          <w:b/>
          <w:color w:val="4F81BD" w:themeColor="accent1"/>
        </w:rPr>
      </w:pPr>
    </w:p>
    <w:p w:rsidR="00CE5141" w:rsidRPr="00CE5141" w:rsidRDefault="007C5722" w:rsidP="006D4F64">
      <w:pPr>
        <w:spacing w:after="0" w:line="240" w:lineRule="auto"/>
        <w:rPr>
          <w:rFonts w:asciiTheme="minorHAnsi" w:eastAsia="Times New Roman" w:hAnsiTheme="minorHAnsi" w:cstheme="minorHAnsi"/>
          <w:lang w:eastAsia="ro-RO"/>
        </w:rPr>
      </w:pPr>
      <w:r w:rsidRPr="00CE5141">
        <w:rPr>
          <w:rFonts w:asciiTheme="minorHAnsi" w:eastAsia="Times New Roman" w:hAnsiTheme="minorHAnsi" w:cstheme="minorHAnsi"/>
          <w:lang w:eastAsia="ro-RO"/>
        </w:rPr>
        <w:t xml:space="preserve">În prezent se află în implementare în cadrul ANFP proiectul </w:t>
      </w:r>
      <w:r w:rsidR="000C199E" w:rsidRPr="00CE5141">
        <w:rPr>
          <w:rFonts w:asciiTheme="minorHAnsi" w:eastAsia="Times New Roman" w:hAnsiTheme="minorHAnsi" w:cstheme="minorHAnsi"/>
          <w:lang w:eastAsia="ro-RO"/>
        </w:rPr>
        <w:t>strategic</w:t>
      </w:r>
      <w:r w:rsidRPr="00CE5141">
        <w:rPr>
          <w:rFonts w:asciiTheme="minorHAnsi" w:eastAsia="Times New Roman" w:hAnsiTheme="minorHAnsi" w:cstheme="minorHAnsi"/>
          <w:lang w:eastAsia="ro-RO"/>
        </w:rPr>
        <w:t xml:space="preserve"> „</w:t>
      </w:r>
      <w:r w:rsidRPr="00CE5141">
        <w:rPr>
          <w:rFonts w:asciiTheme="minorHAnsi" w:eastAsia="Times New Roman" w:hAnsiTheme="minorHAnsi" w:cstheme="minorHAnsi"/>
          <w:i/>
          <w:lang w:eastAsia="ro-RO"/>
        </w:rPr>
        <w:t>e-ANFP – Întărirea capacitații instituționale a ANFP in vederea asigurării unui management performant al funcției publice si funcționarilor publici la nivelul administrației publice centrale si al serviciilor publice din subordinea/coordonarea autorităților publice centrale si locale prin implementarea de instrumente inovatoare</w:t>
      </w:r>
      <w:r w:rsidRPr="00CE5141">
        <w:rPr>
          <w:rFonts w:asciiTheme="minorHAnsi" w:eastAsia="Times New Roman" w:hAnsiTheme="minorHAnsi" w:cstheme="minorHAnsi"/>
          <w:lang w:eastAsia="ro-RO"/>
        </w:rPr>
        <w:t>”, COD SMIS 36675.</w:t>
      </w:r>
      <w:r w:rsidR="006D4F64" w:rsidRPr="00CE5141">
        <w:rPr>
          <w:rFonts w:asciiTheme="minorHAnsi" w:eastAsia="Times New Roman" w:hAnsiTheme="minorHAnsi" w:cstheme="minorHAnsi"/>
          <w:lang w:eastAsia="ro-RO"/>
        </w:rPr>
        <w:t xml:space="preserve"> </w:t>
      </w:r>
    </w:p>
    <w:p w:rsidR="00CE5141" w:rsidRPr="00CE5141" w:rsidRDefault="00CE5141" w:rsidP="006D4F64">
      <w:pPr>
        <w:spacing w:after="0" w:line="240" w:lineRule="auto"/>
        <w:rPr>
          <w:rFonts w:asciiTheme="minorHAnsi" w:eastAsia="Times New Roman" w:hAnsiTheme="minorHAnsi" w:cstheme="minorHAnsi"/>
          <w:lang w:eastAsia="ro-RO"/>
        </w:rPr>
      </w:pPr>
    </w:p>
    <w:p w:rsidR="007C5722" w:rsidRPr="00CE5141" w:rsidRDefault="007C5722" w:rsidP="006D4F64">
      <w:pPr>
        <w:spacing w:after="0" w:line="240" w:lineRule="auto"/>
        <w:rPr>
          <w:rFonts w:asciiTheme="minorHAnsi" w:eastAsia="Times New Roman" w:hAnsiTheme="minorHAnsi" w:cstheme="minorHAnsi"/>
          <w:lang w:eastAsia="ro-RO"/>
        </w:rPr>
      </w:pPr>
      <w:r w:rsidRPr="00CE5141">
        <w:rPr>
          <w:rFonts w:asciiTheme="minorHAnsi" w:eastAsia="Times New Roman" w:hAnsiTheme="minorHAnsi" w:cstheme="minorHAnsi"/>
          <w:lang w:eastAsia="ro-RO"/>
        </w:rPr>
        <w:t>Una din</w:t>
      </w:r>
      <w:r w:rsidR="008F5046">
        <w:rPr>
          <w:rFonts w:asciiTheme="minorHAnsi" w:eastAsia="Times New Roman" w:hAnsiTheme="minorHAnsi" w:cstheme="minorHAnsi"/>
          <w:lang w:eastAsia="ro-RO"/>
        </w:rPr>
        <w:t>tre</w:t>
      </w:r>
      <w:r w:rsidRPr="00CE5141">
        <w:rPr>
          <w:rFonts w:asciiTheme="minorHAnsi" w:eastAsia="Times New Roman" w:hAnsiTheme="minorHAnsi" w:cstheme="minorHAnsi"/>
          <w:lang w:eastAsia="ro-RO"/>
        </w:rPr>
        <w:t xml:space="preserve"> componentele acestui proiect este “Implementarea semnăturii electronice</w:t>
      </w:r>
      <w:r w:rsidR="000C199E" w:rsidRPr="00CE5141">
        <w:rPr>
          <w:rFonts w:asciiTheme="minorHAnsi" w:eastAsia="Times New Roman" w:hAnsiTheme="minorHAnsi" w:cstheme="minorHAnsi"/>
          <w:lang w:eastAsia="ro-RO"/>
        </w:rPr>
        <w:t xml:space="preserve"> (calificate</w:t>
      </w:r>
      <w:r w:rsidRPr="00CE5141">
        <w:rPr>
          <w:rFonts w:asciiTheme="minorHAnsi" w:eastAsia="Times New Roman" w:hAnsiTheme="minorHAnsi" w:cstheme="minorHAnsi"/>
          <w:lang w:eastAsia="ro-RO"/>
        </w:rPr>
        <w:t>) pentru utilizatorii ANFP din teritoriu”</w:t>
      </w:r>
      <w:r w:rsidR="006D4F64" w:rsidRPr="00CE5141">
        <w:rPr>
          <w:rFonts w:asciiTheme="minorHAnsi" w:eastAsia="Times New Roman" w:hAnsiTheme="minorHAnsi" w:cstheme="minorHAnsi"/>
          <w:lang w:eastAsia="ro-RO"/>
        </w:rPr>
        <w:t xml:space="preserve"> </w:t>
      </w:r>
      <w:r w:rsidRPr="00CE5141">
        <w:rPr>
          <w:rFonts w:asciiTheme="minorHAnsi" w:eastAsia="Times New Roman" w:hAnsiTheme="minorHAnsi" w:cstheme="minorHAnsi"/>
          <w:lang w:eastAsia="ro-RO"/>
        </w:rPr>
        <w:t xml:space="preserve">Având în vedere faptul că, </w:t>
      </w:r>
      <w:r w:rsidR="000C199E" w:rsidRPr="00CE5141">
        <w:rPr>
          <w:rFonts w:asciiTheme="minorHAnsi" w:eastAsia="Times New Roman" w:hAnsiTheme="minorHAnsi" w:cstheme="minorHAnsi"/>
          <w:lang w:eastAsia="ro-RO"/>
        </w:rPr>
        <w:t>P</w:t>
      </w:r>
      <w:r w:rsidRPr="00CE5141">
        <w:rPr>
          <w:rFonts w:asciiTheme="minorHAnsi" w:eastAsia="Times New Roman" w:hAnsiTheme="minorHAnsi" w:cstheme="minorHAnsi"/>
          <w:lang w:eastAsia="ro-RO"/>
        </w:rPr>
        <w:t xml:space="preserve">restatorul din cadrul proiectului </w:t>
      </w:r>
      <w:r w:rsidR="000C199E" w:rsidRPr="00CE5141">
        <w:rPr>
          <w:rFonts w:asciiTheme="minorHAnsi" w:eastAsia="Times New Roman" w:hAnsiTheme="minorHAnsi" w:cstheme="minorHAnsi"/>
          <w:lang w:eastAsia="ro-RO"/>
        </w:rPr>
        <w:t>S.C. CERTSIGN S.A</w:t>
      </w:r>
      <w:r w:rsidRPr="00CE5141">
        <w:rPr>
          <w:rFonts w:asciiTheme="minorHAnsi" w:eastAsia="Times New Roman" w:hAnsiTheme="minorHAnsi" w:cstheme="minorHAnsi"/>
          <w:lang w:eastAsia="ro-RO"/>
        </w:rPr>
        <w:t xml:space="preserve">, a inițiat </w:t>
      </w:r>
      <w:r w:rsidR="000C199E" w:rsidRPr="00CE5141">
        <w:rPr>
          <w:rFonts w:asciiTheme="minorHAnsi" w:eastAsia="Times New Roman" w:hAnsiTheme="minorHAnsi" w:cstheme="minorHAnsi"/>
          <w:lang w:eastAsia="ro-RO"/>
        </w:rPr>
        <w:t>demersurile</w:t>
      </w:r>
      <w:r w:rsidRPr="00CE5141">
        <w:rPr>
          <w:rFonts w:asciiTheme="minorHAnsi" w:eastAsia="Times New Roman" w:hAnsiTheme="minorHAnsi" w:cstheme="minorHAnsi"/>
          <w:lang w:eastAsia="ro-RO"/>
        </w:rPr>
        <w:t xml:space="preserve"> </w:t>
      </w:r>
      <w:r w:rsidR="000C199E" w:rsidRPr="00CE5141">
        <w:rPr>
          <w:rFonts w:asciiTheme="minorHAnsi" w:eastAsia="Times New Roman" w:hAnsiTheme="minorHAnsi" w:cstheme="minorHAnsi"/>
          <w:lang w:eastAsia="ro-RO"/>
        </w:rPr>
        <w:t>pentru</w:t>
      </w:r>
      <w:r w:rsidRPr="00CE5141">
        <w:rPr>
          <w:rFonts w:asciiTheme="minorHAnsi" w:eastAsia="Times New Roman" w:hAnsiTheme="minorHAnsi" w:cstheme="minorHAnsi"/>
          <w:lang w:eastAsia="ro-RO"/>
        </w:rPr>
        <w:t xml:space="preserve"> a </w:t>
      </w:r>
      <w:r w:rsidR="000C199E" w:rsidRPr="00CE5141">
        <w:rPr>
          <w:rFonts w:asciiTheme="minorHAnsi" w:eastAsia="Times New Roman" w:hAnsiTheme="minorHAnsi" w:cstheme="minorHAnsi"/>
          <w:lang w:eastAsia="ro-RO"/>
        </w:rPr>
        <w:t xml:space="preserve">se realiza etapa de </w:t>
      </w:r>
      <w:r w:rsidR="00E21F74" w:rsidRPr="00CE5141">
        <w:rPr>
          <w:rFonts w:asciiTheme="minorHAnsi" w:eastAsia="Times New Roman" w:hAnsiTheme="minorHAnsi" w:cstheme="minorHAnsi"/>
          <w:lang w:eastAsia="ro-RO"/>
        </w:rPr>
        <w:t>emitere</w:t>
      </w:r>
      <w:r w:rsidR="000C199E" w:rsidRPr="00CE5141">
        <w:rPr>
          <w:rFonts w:asciiTheme="minorHAnsi" w:eastAsia="Times New Roman" w:hAnsiTheme="minorHAnsi" w:cstheme="minorHAnsi"/>
          <w:lang w:eastAsia="ro-RO"/>
        </w:rPr>
        <w:t xml:space="preserve"> a certificatelor electronice calificate </w:t>
      </w:r>
      <w:r w:rsidR="00E21F74" w:rsidRPr="00CE5141">
        <w:rPr>
          <w:rFonts w:asciiTheme="minorHAnsi" w:eastAsia="Times New Roman" w:hAnsiTheme="minorHAnsi" w:cstheme="minorHAnsi"/>
          <w:lang w:eastAsia="ro-RO"/>
        </w:rPr>
        <w:t xml:space="preserve">(semnătura electronică calificată) </w:t>
      </w:r>
      <w:r w:rsidR="000C199E" w:rsidRPr="00CE5141">
        <w:rPr>
          <w:rFonts w:asciiTheme="minorHAnsi" w:eastAsia="Times New Roman" w:hAnsiTheme="minorHAnsi" w:cstheme="minorHAnsi"/>
          <w:lang w:eastAsia="ro-RO"/>
        </w:rPr>
        <w:t>către un număr de 1930 de instituții și autorități publice din cadrul administrației centrale și locale, î</w:t>
      </w:r>
      <w:r w:rsidR="00E21F74" w:rsidRPr="00CE5141">
        <w:rPr>
          <w:rFonts w:asciiTheme="minorHAnsi" w:eastAsia="Times New Roman" w:hAnsiTheme="minorHAnsi" w:cstheme="minorHAnsi"/>
          <w:lang w:eastAsia="ro-RO"/>
        </w:rPr>
        <w:t>n conformitate cu L</w:t>
      </w:r>
      <w:r w:rsidR="000C199E" w:rsidRPr="00CE5141">
        <w:rPr>
          <w:rFonts w:asciiTheme="minorHAnsi" w:eastAsia="Times New Roman" w:hAnsiTheme="minorHAnsi" w:cstheme="minorHAnsi"/>
          <w:lang w:eastAsia="ro-RO"/>
        </w:rPr>
        <w:t xml:space="preserve">egea nr. 455/2002, </w:t>
      </w:r>
      <w:r w:rsidR="000C199E" w:rsidRPr="00CE5141">
        <w:rPr>
          <w:rFonts w:asciiTheme="minorHAnsi" w:eastAsia="Times New Roman" w:hAnsiTheme="minorHAnsi" w:cstheme="minorHAnsi"/>
          <w:i/>
          <w:lang w:eastAsia="ro-RO"/>
        </w:rPr>
        <w:t>Legea semnăturii electronice</w:t>
      </w:r>
      <w:r w:rsidR="000C199E" w:rsidRPr="00CE5141">
        <w:rPr>
          <w:rFonts w:asciiTheme="minorHAnsi" w:eastAsia="Times New Roman" w:hAnsiTheme="minorHAnsi" w:cstheme="minorHAnsi"/>
          <w:lang w:eastAsia="ro-RO"/>
        </w:rPr>
        <w:t xml:space="preserve">, vă prezentăm câteva </w:t>
      </w:r>
      <w:r w:rsidR="000C199E" w:rsidRPr="00CE5141">
        <w:rPr>
          <w:rFonts w:asciiTheme="minorHAnsi" w:eastAsia="Times New Roman" w:hAnsiTheme="minorHAnsi" w:cstheme="minorHAnsi"/>
          <w:b/>
          <w:lang w:eastAsia="ro-RO"/>
        </w:rPr>
        <w:t xml:space="preserve">Întrebări </w:t>
      </w:r>
      <w:r w:rsidR="000C199E" w:rsidRPr="00CE5141">
        <w:rPr>
          <w:rFonts w:asciiTheme="minorHAnsi" w:eastAsia="Times New Roman" w:hAnsiTheme="minorHAnsi" w:cstheme="minorHAnsi"/>
          <w:i/>
          <w:lang w:eastAsia="ro-RO"/>
        </w:rPr>
        <w:t>(primite din partea reprezentanților instituțiilor publice beneficiare)</w:t>
      </w:r>
      <w:r w:rsidR="000C199E" w:rsidRPr="00CE5141">
        <w:rPr>
          <w:rFonts w:asciiTheme="minorHAnsi" w:eastAsia="Times New Roman" w:hAnsiTheme="minorHAnsi" w:cstheme="minorHAnsi"/>
          <w:lang w:eastAsia="ro-RO"/>
        </w:rPr>
        <w:t xml:space="preserve"> și </w:t>
      </w:r>
      <w:r w:rsidR="000C199E" w:rsidRPr="00CE5141">
        <w:rPr>
          <w:rFonts w:asciiTheme="minorHAnsi" w:eastAsia="Times New Roman" w:hAnsiTheme="minorHAnsi" w:cstheme="minorHAnsi"/>
          <w:b/>
          <w:lang w:eastAsia="ro-RO"/>
        </w:rPr>
        <w:t>Răspunsuri</w:t>
      </w:r>
      <w:r w:rsidR="000C199E" w:rsidRPr="00CE5141">
        <w:rPr>
          <w:rFonts w:asciiTheme="minorHAnsi" w:eastAsia="Times New Roman" w:hAnsiTheme="minorHAnsi" w:cstheme="minorHAnsi"/>
          <w:lang w:eastAsia="ro-RO"/>
        </w:rPr>
        <w:t xml:space="preserve"> cu privire la această activitate: </w:t>
      </w:r>
    </w:p>
    <w:p w:rsidR="00B846CF" w:rsidRPr="00CE5141" w:rsidRDefault="00B846CF" w:rsidP="006D4F64">
      <w:pPr>
        <w:spacing w:after="0" w:line="240" w:lineRule="auto"/>
        <w:jc w:val="left"/>
        <w:rPr>
          <w:rFonts w:asciiTheme="minorHAnsi" w:hAnsiTheme="minorHAnsi" w:cstheme="minorHAnsi"/>
        </w:rPr>
      </w:pPr>
    </w:p>
    <w:tbl>
      <w:tblPr>
        <w:tblStyle w:val="MediumGrid2-Accent5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7C5722" w:rsidRPr="00CE5141" w:rsidTr="006D4F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27" w:type="dxa"/>
            <w:shd w:val="clear" w:color="auto" w:fill="244061" w:themeFill="accent1" w:themeFillShade="80"/>
          </w:tcPr>
          <w:p w:rsidR="007C5722" w:rsidRPr="00CE5141" w:rsidRDefault="000C199E" w:rsidP="006D4F6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CE5141">
              <w:rPr>
                <w:rFonts w:asciiTheme="minorHAnsi" w:hAnsiTheme="minorHAnsi" w:cstheme="minorHAnsi"/>
                <w:color w:val="FFFFFF" w:themeColor="background1"/>
              </w:rPr>
              <w:t>ÎNTREBARE</w:t>
            </w:r>
          </w:p>
        </w:tc>
        <w:tc>
          <w:tcPr>
            <w:tcW w:w="6662" w:type="dxa"/>
            <w:shd w:val="clear" w:color="auto" w:fill="244061" w:themeFill="accent1" w:themeFillShade="80"/>
          </w:tcPr>
          <w:p w:rsidR="007C5722" w:rsidRPr="00CE5141" w:rsidRDefault="000C199E" w:rsidP="006D4F6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</w:rPr>
            </w:pPr>
            <w:r w:rsidRPr="00CE5141">
              <w:rPr>
                <w:rFonts w:asciiTheme="minorHAnsi" w:hAnsiTheme="minorHAnsi" w:cstheme="minorHAnsi"/>
                <w:color w:val="FFFFFF" w:themeColor="background1"/>
              </w:rPr>
              <w:t>RĂSPUNS</w:t>
            </w:r>
          </w:p>
        </w:tc>
      </w:tr>
      <w:tr w:rsidR="007C5722" w:rsidRPr="00CE5141" w:rsidTr="006D4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7C5722" w:rsidRPr="00CE5141" w:rsidRDefault="000C199E" w:rsidP="000B61D6">
            <w:pPr>
              <w:spacing w:after="0" w:line="240" w:lineRule="auto"/>
              <w:jc w:val="left"/>
              <w:rPr>
                <w:rFonts w:asciiTheme="minorHAnsi" w:hAnsiTheme="minorHAnsi" w:cstheme="minorHAnsi"/>
                <w:b w:val="0"/>
              </w:rPr>
            </w:pPr>
            <w:r w:rsidRPr="00CE5141">
              <w:rPr>
                <w:rFonts w:asciiTheme="minorHAnsi" w:hAnsiTheme="minorHAnsi" w:cstheme="minorHAnsi"/>
                <w:b w:val="0"/>
              </w:rPr>
              <w:t xml:space="preserve">Ce persoană din instituție trebuie </w:t>
            </w:r>
            <w:r w:rsidR="000B61D6">
              <w:rPr>
                <w:rFonts w:asciiTheme="minorHAnsi" w:hAnsiTheme="minorHAnsi" w:cstheme="minorHAnsi"/>
                <w:b w:val="0"/>
              </w:rPr>
              <w:t xml:space="preserve">să se autentifice/înregistreze </w:t>
            </w:r>
            <w:r w:rsidRPr="00CE5141">
              <w:rPr>
                <w:rFonts w:asciiTheme="minorHAnsi" w:hAnsiTheme="minorHAnsi" w:cstheme="minorHAnsi"/>
                <w:b w:val="0"/>
              </w:rPr>
              <w:t xml:space="preserve">pentru a primi </w:t>
            </w:r>
            <w:r w:rsidR="00E21F74" w:rsidRPr="00CE5141">
              <w:rPr>
                <w:rFonts w:asciiTheme="minorHAnsi" w:hAnsiTheme="minorHAnsi" w:cstheme="minorHAnsi"/>
                <w:b w:val="0"/>
              </w:rPr>
              <w:t>semnătura electronică prin proiect?</w:t>
            </w:r>
          </w:p>
        </w:tc>
        <w:tc>
          <w:tcPr>
            <w:tcW w:w="6662" w:type="dxa"/>
          </w:tcPr>
          <w:p w:rsidR="007C5722" w:rsidRPr="00CE5141" w:rsidRDefault="00E21F74" w:rsidP="000A725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E5141">
              <w:rPr>
                <w:rFonts w:asciiTheme="minorHAnsi" w:hAnsiTheme="minorHAnsi" w:cstheme="minorHAnsi"/>
              </w:rPr>
              <w:t xml:space="preserve">Reprezentantul legal al instituției sau o persoană desemnată în acest sens prin </w:t>
            </w:r>
            <w:r w:rsidR="000A7252">
              <w:rPr>
                <w:rFonts w:asciiTheme="minorHAnsi" w:hAnsiTheme="minorHAnsi" w:cstheme="minorHAnsi"/>
              </w:rPr>
              <w:t xml:space="preserve">act administrativ </w:t>
            </w:r>
            <w:r w:rsidRPr="00CE5141">
              <w:rPr>
                <w:rFonts w:asciiTheme="minorHAnsi" w:hAnsiTheme="minorHAnsi" w:cstheme="minorHAnsi"/>
              </w:rPr>
              <w:t xml:space="preserve">. Conform datelor transmise către ANFP de către instituția dvs. prin încărcare în cadrul </w:t>
            </w:r>
            <w:r w:rsidRPr="00CE5141">
              <w:rPr>
                <w:rFonts w:asciiTheme="minorHAnsi" w:hAnsiTheme="minorHAnsi" w:cstheme="minorHAnsi"/>
                <w:i/>
              </w:rPr>
              <w:t>Portalului de management al funcțiilor publice și al funcționarilor publici s</w:t>
            </w:r>
            <w:r w:rsidRPr="00CE5141">
              <w:rPr>
                <w:rFonts w:asciiTheme="minorHAnsi" w:hAnsiTheme="minorHAnsi" w:cstheme="minorHAnsi"/>
              </w:rPr>
              <w:t xml:space="preserve">au email.  </w:t>
            </w:r>
          </w:p>
        </w:tc>
      </w:tr>
      <w:tr w:rsidR="007C5722" w:rsidRPr="00CE5141" w:rsidTr="006D4F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7C5722" w:rsidRPr="00CE5141" w:rsidRDefault="00E21F74" w:rsidP="006D4F64">
            <w:pPr>
              <w:spacing w:after="0" w:line="240" w:lineRule="auto"/>
              <w:jc w:val="left"/>
              <w:rPr>
                <w:rFonts w:asciiTheme="minorHAnsi" w:hAnsiTheme="minorHAnsi" w:cstheme="minorHAnsi"/>
                <w:b w:val="0"/>
              </w:rPr>
            </w:pPr>
            <w:r w:rsidRPr="00CE5141">
              <w:rPr>
                <w:rFonts w:asciiTheme="minorHAnsi" w:hAnsiTheme="minorHAnsi" w:cstheme="minorHAnsi"/>
                <w:b w:val="0"/>
              </w:rPr>
              <w:t xml:space="preserve">Câte semnături electronice pot fi predate către o instituție publică prin proiectul cod SMIS 36675? </w:t>
            </w:r>
          </w:p>
        </w:tc>
        <w:tc>
          <w:tcPr>
            <w:tcW w:w="6662" w:type="dxa"/>
          </w:tcPr>
          <w:p w:rsidR="007C5722" w:rsidRPr="00CE5141" w:rsidRDefault="00E21F74" w:rsidP="006D4F64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E5141">
              <w:rPr>
                <w:rFonts w:asciiTheme="minorHAnsi" w:hAnsiTheme="minorHAnsi" w:cstheme="minorHAnsi"/>
              </w:rPr>
              <w:t>O  si</w:t>
            </w:r>
            <w:r w:rsidR="000A7252">
              <w:rPr>
                <w:rFonts w:asciiTheme="minorHAnsi" w:hAnsiTheme="minorHAnsi" w:cstheme="minorHAnsi"/>
              </w:rPr>
              <w:t>n</w:t>
            </w:r>
            <w:r w:rsidRPr="00CE5141">
              <w:rPr>
                <w:rFonts w:asciiTheme="minorHAnsi" w:hAnsiTheme="minorHAnsi" w:cstheme="minorHAnsi"/>
              </w:rPr>
              <w:t>gură semnătură electronică calificată per instituție poate fi emisă prin proiect.</w:t>
            </w:r>
          </w:p>
        </w:tc>
      </w:tr>
      <w:tr w:rsidR="007C5722" w:rsidRPr="00CE5141" w:rsidTr="006D4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7C5722" w:rsidRPr="00CE5141" w:rsidRDefault="00E21F74" w:rsidP="006D4F64">
            <w:pPr>
              <w:spacing w:after="0" w:line="240" w:lineRule="auto"/>
              <w:jc w:val="left"/>
              <w:rPr>
                <w:rFonts w:asciiTheme="minorHAnsi" w:hAnsiTheme="minorHAnsi" w:cstheme="minorHAnsi"/>
                <w:b w:val="0"/>
              </w:rPr>
            </w:pPr>
            <w:r w:rsidRPr="00CE5141">
              <w:rPr>
                <w:rFonts w:asciiTheme="minorHAnsi" w:hAnsiTheme="minorHAnsi" w:cstheme="minorHAnsi"/>
                <w:b w:val="0"/>
              </w:rPr>
              <w:t>De când este estimat a fi obligatorie utilizarea semnăturii electronice în relația cu ANFP?</w:t>
            </w:r>
          </w:p>
        </w:tc>
        <w:tc>
          <w:tcPr>
            <w:tcW w:w="6662" w:type="dxa"/>
          </w:tcPr>
          <w:p w:rsidR="007C5722" w:rsidRPr="00CE5141" w:rsidRDefault="00E21F74" w:rsidP="006D4F64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E5141">
              <w:rPr>
                <w:rFonts w:asciiTheme="minorHAnsi" w:hAnsiTheme="minorHAnsi" w:cstheme="minorHAnsi"/>
              </w:rPr>
              <w:t xml:space="preserve">În relația cu ANFP, semnătura electronică calificată va fi folosită cu prioritate și în mod obligatoriu, începând cu anul viitor, de către instituțiile și autoritățile publice prin utilizarea </w:t>
            </w:r>
            <w:r w:rsidRPr="00CE5141">
              <w:rPr>
                <w:rFonts w:asciiTheme="minorHAnsi" w:hAnsiTheme="minorHAnsi" w:cstheme="minorHAnsi"/>
                <w:i/>
              </w:rPr>
              <w:t>Portalului de management al funcțiilor publice și al funcționarilor publici</w:t>
            </w:r>
            <w:r w:rsidRPr="00CE5141">
              <w:rPr>
                <w:rFonts w:asciiTheme="minorHAnsi" w:hAnsiTheme="minorHAnsi" w:cstheme="minorHAnsi"/>
              </w:rPr>
              <w:t>.</w:t>
            </w:r>
          </w:p>
        </w:tc>
      </w:tr>
      <w:tr w:rsidR="00E21F74" w:rsidRPr="00CE5141" w:rsidTr="006D4F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E21F74" w:rsidRPr="00CE5141" w:rsidRDefault="00E21F74" w:rsidP="006D4F64">
            <w:pPr>
              <w:spacing w:after="0" w:line="240" w:lineRule="auto"/>
              <w:jc w:val="left"/>
              <w:rPr>
                <w:rFonts w:asciiTheme="minorHAnsi" w:hAnsiTheme="minorHAnsi" w:cstheme="minorHAnsi"/>
                <w:b w:val="0"/>
              </w:rPr>
            </w:pPr>
            <w:r w:rsidRPr="00CE5141">
              <w:rPr>
                <w:rFonts w:asciiTheme="minorHAnsi" w:hAnsiTheme="minorHAnsi" w:cstheme="minorHAnsi"/>
                <w:b w:val="0"/>
              </w:rPr>
              <w:t>Poate fi utilizată semnătura electronică deținută deja de instituția noastră în relația cu ANAF/SEAP</w:t>
            </w:r>
            <w:r w:rsidR="00780A6D" w:rsidRPr="00CE5141">
              <w:rPr>
                <w:rFonts w:asciiTheme="minorHAnsi" w:hAnsiTheme="minorHAnsi" w:cstheme="minorHAnsi"/>
                <w:b w:val="0"/>
              </w:rPr>
              <w:t>/etc</w:t>
            </w:r>
            <w:r w:rsidRPr="00CE5141">
              <w:rPr>
                <w:rFonts w:asciiTheme="minorHAnsi" w:hAnsiTheme="minorHAnsi" w:cstheme="minorHAnsi"/>
                <w:b w:val="0"/>
              </w:rPr>
              <w:t xml:space="preserve"> și pentru a relaționa cu ANFP prin intermediul </w:t>
            </w:r>
            <w:r w:rsidRPr="00CE5141">
              <w:rPr>
                <w:rFonts w:asciiTheme="minorHAnsi" w:hAnsiTheme="minorHAnsi" w:cstheme="minorHAnsi"/>
                <w:b w:val="0"/>
                <w:i/>
              </w:rPr>
              <w:t>Portalului de management al funcțiilor publice și al funcționarilor publici</w:t>
            </w:r>
            <w:r w:rsidRPr="00CE5141">
              <w:rPr>
                <w:rFonts w:asciiTheme="minorHAnsi" w:hAnsiTheme="minorHAnsi" w:cstheme="minorHAnsi"/>
                <w:b w:val="0"/>
              </w:rPr>
              <w:t>?</w:t>
            </w:r>
          </w:p>
        </w:tc>
        <w:tc>
          <w:tcPr>
            <w:tcW w:w="6662" w:type="dxa"/>
          </w:tcPr>
          <w:p w:rsidR="000A7252" w:rsidRDefault="000A7252" w:rsidP="006D4F64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Semnătura electronică extinsă poate fi folosită în relația cu orice organism privat sau public cu respectarea legislației aplicabile.</w:t>
            </w:r>
          </w:p>
          <w:p w:rsidR="00E21F74" w:rsidRPr="00CE5141" w:rsidRDefault="00E21F74" w:rsidP="006D4F64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E21F74" w:rsidRPr="00CE5141" w:rsidTr="006D4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E21F74" w:rsidRPr="00CE5141" w:rsidRDefault="00E21F74" w:rsidP="006D4F64">
            <w:pPr>
              <w:spacing w:after="0" w:line="240" w:lineRule="auto"/>
              <w:jc w:val="left"/>
              <w:rPr>
                <w:rFonts w:asciiTheme="minorHAnsi" w:hAnsiTheme="minorHAnsi" w:cstheme="minorHAnsi"/>
                <w:b w:val="0"/>
              </w:rPr>
            </w:pPr>
            <w:r w:rsidRPr="00CE5141">
              <w:rPr>
                <w:rFonts w:asciiTheme="minorHAnsi" w:hAnsiTheme="minorHAnsi" w:cstheme="minorHAnsi"/>
                <w:b w:val="0"/>
              </w:rPr>
              <w:t xml:space="preserve">Cine va opera încărcarea documentelor semnate electronic </w:t>
            </w:r>
            <w:r w:rsidR="00A333CE" w:rsidRPr="00CE5141">
              <w:rPr>
                <w:rFonts w:asciiTheme="minorHAnsi" w:hAnsiTheme="minorHAnsi" w:cstheme="minorHAnsi"/>
                <w:b w:val="0"/>
              </w:rPr>
              <w:t xml:space="preserve">în </w:t>
            </w:r>
            <w:r w:rsidR="00A333CE" w:rsidRPr="00CE5141">
              <w:rPr>
                <w:rFonts w:asciiTheme="minorHAnsi" w:hAnsiTheme="minorHAnsi" w:cstheme="minorHAnsi"/>
                <w:b w:val="0"/>
                <w:i/>
              </w:rPr>
              <w:t xml:space="preserve">Portalul de management al funcțiilor publice </w:t>
            </w:r>
            <w:r w:rsidR="00A333CE" w:rsidRPr="00CE5141">
              <w:rPr>
                <w:rFonts w:asciiTheme="minorHAnsi" w:hAnsiTheme="minorHAnsi" w:cstheme="minorHAnsi"/>
                <w:b w:val="0"/>
                <w:i/>
              </w:rPr>
              <w:lastRenderedPageBreak/>
              <w:t>și al funcționarilor publici?</w:t>
            </w:r>
          </w:p>
        </w:tc>
        <w:tc>
          <w:tcPr>
            <w:tcW w:w="6662" w:type="dxa"/>
          </w:tcPr>
          <w:p w:rsidR="00E21F74" w:rsidRPr="00CE5141" w:rsidRDefault="004C2C23" w:rsidP="004C2C23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După semnarea de către </w:t>
            </w:r>
            <w:r w:rsidRPr="00CE5141">
              <w:rPr>
                <w:rFonts w:asciiTheme="minorHAnsi" w:hAnsiTheme="minorHAnsi" w:cstheme="minorHAnsi"/>
              </w:rPr>
              <w:t>reprezentantul legal sau persoana desemnată în acest sens</w:t>
            </w:r>
            <w:r>
              <w:rPr>
                <w:rFonts w:asciiTheme="minorHAnsi" w:hAnsiTheme="minorHAnsi" w:cstheme="minorHAnsi"/>
              </w:rPr>
              <w:t xml:space="preserve">, documentul semnat electronic  va putea fi încărcat </w:t>
            </w:r>
            <w:r w:rsidRPr="00CE5141">
              <w:rPr>
                <w:rFonts w:asciiTheme="minorHAnsi" w:hAnsiTheme="minorHAnsi" w:cstheme="minorHAnsi"/>
              </w:rPr>
              <w:t xml:space="preserve">în cadrul </w:t>
            </w:r>
            <w:r w:rsidRPr="00CE5141">
              <w:rPr>
                <w:rFonts w:asciiTheme="minorHAnsi" w:hAnsiTheme="minorHAnsi" w:cstheme="minorHAnsi"/>
                <w:i/>
              </w:rPr>
              <w:t>Portalului de management al funcțiilor publice și al funcționarilor publici</w:t>
            </w:r>
            <w:r>
              <w:rPr>
                <w:rFonts w:asciiTheme="minorHAnsi" w:hAnsiTheme="minorHAnsi" w:cstheme="minorHAnsi"/>
              </w:rPr>
              <w:t xml:space="preserve"> de către p</w:t>
            </w:r>
            <w:r w:rsidR="00A333CE" w:rsidRPr="00CE5141">
              <w:rPr>
                <w:rFonts w:asciiTheme="minorHAnsi" w:hAnsiTheme="minorHAnsi" w:cstheme="minorHAnsi"/>
              </w:rPr>
              <w:t xml:space="preserve">ersoana </w:t>
            </w:r>
            <w:r>
              <w:rPr>
                <w:rFonts w:asciiTheme="minorHAnsi" w:hAnsiTheme="minorHAnsi" w:cstheme="minorHAnsi"/>
              </w:rPr>
              <w:t xml:space="preserve">din cadrul compartimentului de resurse </w:t>
            </w:r>
            <w:r>
              <w:rPr>
                <w:rFonts w:asciiTheme="minorHAnsi" w:hAnsiTheme="minorHAnsi" w:cstheme="minorHAnsi"/>
              </w:rPr>
              <w:lastRenderedPageBreak/>
              <w:t xml:space="preserve">umane care are cont și parolă de utilizare în Portal. </w:t>
            </w:r>
            <w:r w:rsidR="00780A6D" w:rsidRPr="00CE5141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E21F74" w:rsidRPr="00CE5141" w:rsidTr="006D4F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E21F74" w:rsidRPr="00CE5141" w:rsidRDefault="00780A6D" w:rsidP="006D4F64">
            <w:pPr>
              <w:spacing w:after="0" w:line="240" w:lineRule="auto"/>
              <w:jc w:val="left"/>
              <w:rPr>
                <w:rFonts w:asciiTheme="minorHAnsi" w:hAnsiTheme="minorHAnsi" w:cstheme="minorHAnsi"/>
                <w:b w:val="0"/>
              </w:rPr>
            </w:pPr>
            <w:r w:rsidRPr="00CE5141">
              <w:rPr>
                <w:rFonts w:asciiTheme="minorHAnsi" w:hAnsiTheme="minorHAnsi" w:cstheme="minorHAnsi"/>
                <w:b w:val="0"/>
              </w:rPr>
              <w:lastRenderedPageBreak/>
              <w:t>Care este procedura de semnare electronică?</w:t>
            </w:r>
          </w:p>
        </w:tc>
        <w:tc>
          <w:tcPr>
            <w:tcW w:w="6662" w:type="dxa"/>
          </w:tcPr>
          <w:p w:rsidR="00E21F74" w:rsidRPr="00CE5141" w:rsidRDefault="00780A6D" w:rsidP="000A725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E5141">
              <w:rPr>
                <w:rFonts w:asciiTheme="minorHAnsi" w:hAnsiTheme="minorHAnsi" w:cstheme="minorHAnsi"/>
              </w:rPr>
              <w:t xml:space="preserve">Proiectul vizează instruirea a 3.860 de persoane la nivel naţional cu privire la modul de utilizare a semnăturii electronice în cadrul a 41 de seminarii regionale inclusiv Municipiul Bucureşti, ce vor avea durata de 1 zi și se vor derula la nivelul municipiilor reședință de județ. La aceste sesiuni de instruire vor participa 2 reprezentanți din cadrul celor 1.930 de instituții publice și autorități publice, respectiv ordonatorul de credite/reprezentantul legal al instituției și un funcționar din cadrul compartimentului de resurse umane. În cadrul proiectului, se va elabora un </w:t>
            </w:r>
            <w:r w:rsidRPr="00CE5141">
              <w:rPr>
                <w:rFonts w:asciiTheme="minorHAnsi" w:hAnsiTheme="minorHAnsi" w:cstheme="minorHAnsi"/>
                <w:b/>
              </w:rPr>
              <w:t>Manual de utilizare a semnăturii electronice</w:t>
            </w:r>
            <w:r w:rsidRPr="00CE5141">
              <w:rPr>
                <w:rFonts w:asciiTheme="minorHAnsi" w:hAnsiTheme="minorHAnsi" w:cstheme="minorHAnsi"/>
              </w:rPr>
              <w:t xml:space="preserve"> care va fi tipărit în 4.100 de exemplare și distribuit instituțiilor și autorităților publice care fac parte din grupul țintă al proiectului.</w:t>
            </w:r>
            <w:r w:rsidR="004805B9" w:rsidRPr="00CE5141">
              <w:rPr>
                <w:rFonts w:asciiTheme="minorHAnsi" w:hAnsiTheme="minorHAnsi" w:cstheme="minorHAnsi"/>
              </w:rPr>
              <w:t xml:space="preserve"> De asemenea, fiecare certificat digital se livreaza insotit de CD cu manual de utilizare in format pdf, si mai mult decat atat</w:t>
            </w:r>
            <w:r w:rsidR="00A51347" w:rsidRPr="00CE5141">
              <w:rPr>
                <w:rFonts w:asciiTheme="minorHAnsi" w:hAnsiTheme="minorHAnsi" w:cstheme="minorHAnsi"/>
              </w:rPr>
              <w:t>, fiecare certificat digital</w:t>
            </w:r>
            <w:r w:rsidR="004805B9" w:rsidRPr="00CE5141">
              <w:rPr>
                <w:rFonts w:asciiTheme="minorHAnsi" w:hAnsiTheme="minorHAnsi" w:cstheme="minorHAnsi"/>
              </w:rPr>
              <w:t xml:space="preserve"> beneficiaza pe toata durata de valabilitate a acestuia de suport tehnic</w:t>
            </w:r>
            <w:r w:rsidR="00A51347" w:rsidRPr="00CE5141">
              <w:rPr>
                <w:rFonts w:asciiTheme="minorHAnsi" w:hAnsiTheme="minorHAnsi" w:cstheme="minorHAnsi"/>
              </w:rPr>
              <w:t xml:space="preserve"> on-call din partea Prestatorului.</w:t>
            </w:r>
          </w:p>
        </w:tc>
      </w:tr>
      <w:tr w:rsidR="00400A46" w:rsidRPr="00CE5141" w:rsidTr="006D4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00A46" w:rsidRPr="00CE5141" w:rsidRDefault="00400A46" w:rsidP="00CE5141">
            <w:pPr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CE5141">
              <w:rPr>
                <w:rFonts w:asciiTheme="minorHAnsi" w:hAnsiTheme="minorHAnsi" w:cstheme="minorHAnsi"/>
                <w:b w:val="0"/>
              </w:rPr>
              <w:t>D</w:t>
            </w:r>
            <w:r w:rsidR="00CE5141">
              <w:rPr>
                <w:rFonts w:asciiTheme="minorHAnsi" w:hAnsiTheme="minorHAnsi" w:cstheme="minorHAnsi"/>
                <w:b w:val="0"/>
              </w:rPr>
              <w:t>aca in localitatea în care se află instituția mea nu există</w:t>
            </w:r>
            <w:r w:rsidRPr="00CE5141">
              <w:rPr>
                <w:rFonts w:asciiTheme="minorHAnsi" w:hAnsiTheme="minorHAnsi" w:cstheme="minorHAnsi"/>
                <w:b w:val="0"/>
              </w:rPr>
              <w:t xml:space="preserve"> sucursala BRD unde pot parcurge etapa de identificare?</w:t>
            </w:r>
          </w:p>
        </w:tc>
        <w:tc>
          <w:tcPr>
            <w:tcW w:w="6662" w:type="dxa"/>
          </w:tcPr>
          <w:p w:rsidR="00400A46" w:rsidRPr="00CE5141" w:rsidRDefault="00400A46" w:rsidP="006D4F64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E5141">
              <w:rPr>
                <w:rFonts w:asciiTheme="minorHAnsi" w:hAnsiTheme="minorHAnsi" w:cstheme="minorHAnsi"/>
              </w:rPr>
              <w:t xml:space="preserve">Vă rugăm să adresați următoarele întrebări: </w:t>
            </w:r>
          </w:p>
          <w:p w:rsidR="00400A46" w:rsidRPr="00CE5141" w:rsidRDefault="00400A46" w:rsidP="006D4F6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E5141">
              <w:rPr>
                <w:rFonts w:asciiTheme="minorHAnsi" w:hAnsiTheme="minorHAnsi" w:cstheme="minorHAnsi"/>
              </w:rPr>
              <w:t>- Cosmin Nae – Telefon: 0314.133.049 / 0725.347.688</w:t>
            </w:r>
          </w:p>
          <w:p w:rsidR="00400A46" w:rsidRPr="00CE5141" w:rsidRDefault="00400A46" w:rsidP="006D4F6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E5141">
              <w:rPr>
                <w:rFonts w:asciiTheme="minorHAnsi" w:hAnsiTheme="minorHAnsi" w:cstheme="minorHAnsi"/>
              </w:rPr>
              <w:t xml:space="preserve"> Fax: 021.211.99.0, Email:cosmin.nae@certsign.ro</w:t>
            </w:r>
          </w:p>
          <w:p w:rsidR="00400A46" w:rsidRPr="00CE5141" w:rsidRDefault="00400A46" w:rsidP="006D4F6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E5141">
              <w:rPr>
                <w:rFonts w:asciiTheme="minorHAnsi" w:hAnsiTheme="minorHAnsi" w:cstheme="minorHAnsi"/>
              </w:rPr>
              <w:t>- Andreea Berinde – Telefon 0314133032 / 0730.019.353, Email: andreea.berinde@certsign.ro</w:t>
            </w:r>
          </w:p>
          <w:p w:rsidR="00400A46" w:rsidRPr="00CE5141" w:rsidRDefault="00400A46" w:rsidP="006D4F6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E5141">
              <w:rPr>
                <w:rFonts w:asciiTheme="minorHAnsi" w:hAnsiTheme="minorHAnsi" w:cstheme="minorHAnsi"/>
              </w:rPr>
              <w:t>- Call Center certSING: 031.101.18.70</w:t>
            </w:r>
          </w:p>
        </w:tc>
      </w:tr>
    </w:tbl>
    <w:p w:rsidR="00B846CF" w:rsidRPr="00CE5141" w:rsidRDefault="00B846CF" w:rsidP="006D4F64">
      <w:pPr>
        <w:spacing w:after="0" w:line="240" w:lineRule="auto"/>
        <w:jc w:val="left"/>
        <w:rPr>
          <w:rFonts w:asciiTheme="minorHAnsi" w:hAnsiTheme="minorHAnsi" w:cstheme="minorHAnsi"/>
        </w:rPr>
      </w:pPr>
    </w:p>
    <w:p w:rsidR="00D504F2" w:rsidRPr="00CE5141" w:rsidRDefault="00D504F2" w:rsidP="006D4F64">
      <w:pPr>
        <w:spacing w:after="0" w:line="240" w:lineRule="auto"/>
        <w:jc w:val="left"/>
        <w:rPr>
          <w:rFonts w:asciiTheme="minorHAnsi" w:hAnsiTheme="minorHAnsi" w:cstheme="minorHAnsi"/>
          <w:color w:val="FFFFFF" w:themeColor="background1"/>
        </w:rPr>
      </w:pPr>
    </w:p>
    <w:p w:rsidR="00A333CE" w:rsidRPr="00CE5141" w:rsidRDefault="00780A6D" w:rsidP="00CE5141">
      <w:pPr>
        <w:shd w:val="clear" w:color="auto" w:fill="31849B" w:themeFill="accent5" w:themeFillShade="BF"/>
        <w:spacing w:after="0" w:line="240" w:lineRule="auto"/>
        <w:rPr>
          <w:rFonts w:asciiTheme="minorHAnsi" w:hAnsiTheme="minorHAnsi" w:cstheme="minorHAnsi"/>
          <w:b/>
          <w:color w:val="FFFFFF" w:themeColor="background1"/>
        </w:rPr>
      </w:pPr>
      <w:r w:rsidRPr="00CE5141">
        <w:rPr>
          <w:rFonts w:asciiTheme="minorHAnsi" w:hAnsiTheme="minorHAnsi" w:cstheme="minorHAnsi"/>
          <w:b/>
          <w:color w:val="FFFFFF" w:themeColor="background1"/>
        </w:rPr>
        <w:t xml:space="preserve">LEGISLAȚIE </w:t>
      </w:r>
      <w:r w:rsidR="008F5046">
        <w:rPr>
          <w:rFonts w:asciiTheme="minorHAnsi" w:hAnsiTheme="minorHAnsi" w:cstheme="minorHAnsi"/>
          <w:b/>
          <w:color w:val="FFFFFF" w:themeColor="background1"/>
        </w:rPr>
        <w:t>INCIDENTĂ</w:t>
      </w:r>
      <w:r w:rsidRPr="00CE5141">
        <w:rPr>
          <w:rFonts w:asciiTheme="minorHAnsi" w:hAnsiTheme="minorHAnsi" w:cstheme="minorHAnsi"/>
          <w:b/>
          <w:color w:val="FFFFFF" w:themeColor="background1"/>
        </w:rPr>
        <w:t xml:space="preserve"> :</w:t>
      </w:r>
    </w:p>
    <w:p w:rsidR="006D4F64" w:rsidRPr="00CE5141" w:rsidRDefault="006D4F64" w:rsidP="006D4F64">
      <w:pPr>
        <w:pStyle w:val="ListParagraph"/>
        <w:ind w:left="714"/>
        <w:rPr>
          <w:rFonts w:asciiTheme="minorHAnsi" w:hAnsiTheme="minorHAnsi" w:cstheme="minorHAnsi"/>
        </w:rPr>
      </w:pPr>
    </w:p>
    <w:p w:rsidR="00A333CE" w:rsidRPr="00CE5141" w:rsidRDefault="00A333CE" w:rsidP="006D4F64">
      <w:pPr>
        <w:pStyle w:val="ListParagraph"/>
        <w:numPr>
          <w:ilvl w:val="0"/>
          <w:numId w:val="1"/>
        </w:numPr>
        <w:ind w:left="714" w:hanging="357"/>
        <w:rPr>
          <w:rFonts w:asciiTheme="minorHAnsi" w:hAnsiTheme="minorHAnsi" w:cstheme="minorHAnsi"/>
        </w:rPr>
      </w:pPr>
      <w:r w:rsidRPr="00CE5141">
        <w:rPr>
          <w:rFonts w:asciiTheme="minorHAnsi" w:hAnsiTheme="minorHAnsi" w:cstheme="minorHAnsi"/>
        </w:rPr>
        <w:t>Legea nr. 455/2001 privind semnătura electronică, republicată</w:t>
      </w:r>
    </w:p>
    <w:p w:rsidR="00A333CE" w:rsidRPr="00CE5141" w:rsidRDefault="00A333CE" w:rsidP="006D4F64">
      <w:pPr>
        <w:pStyle w:val="ListParagraph"/>
        <w:numPr>
          <w:ilvl w:val="0"/>
          <w:numId w:val="1"/>
        </w:numPr>
        <w:ind w:left="714" w:hanging="357"/>
        <w:rPr>
          <w:rFonts w:asciiTheme="minorHAnsi" w:hAnsiTheme="minorHAnsi" w:cstheme="minorHAnsi"/>
        </w:rPr>
      </w:pPr>
      <w:r w:rsidRPr="00CE5141">
        <w:rPr>
          <w:rFonts w:asciiTheme="minorHAnsi" w:hAnsiTheme="minorHAnsi" w:cstheme="minorHAnsi"/>
        </w:rPr>
        <w:t>Normă tehnică şi metodologice pentru aplicarea Legii nr. 455/2001 privind semnătura electronică aprobata prin Hotărârea Guvernului nr. 1259/2001</w:t>
      </w:r>
    </w:p>
    <w:p w:rsidR="00A333CE" w:rsidRPr="00CE5141" w:rsidRDefault="00A333CE" w:rsidP="006D4F64">
      <w:pPr>
        <w:pStyle w:val="ListParagraph"/>
        <w:numPr>
          <w:ilvl w:val="0"/>
          <w:numId w:val="1"/>
        </w:numPr>
        <w:ind w:left="714" w:hanging="357"/>
        <w:rPr>
          <w:rFonts w:asciiTheme="minorHAnsi" w:hAnsiTheme="minorHAnsi" w:cstheme="minorHAnsi"/>
        </w:rPr>
      </w:pPr>
      <w:r w:rsidRPr="00CE5141">
        <w:rPr>
          <w:rFonts w:asciiTheme="minorHAnsi" w:hAnsiTheme="minorHAnsi" w:cstheme="minorHAnsi"/>
        </w:rPr>
        <w:t>Legea nr. 135/2007 privind arhivarea documentelor în formă electronică, republicată</w:t>
      </w:r>
    </w:p>
    <w:p w:rsidR="00A333CE" w:rsidRPr="00CE5141" w:rsidRDefault="00A333CE" w:rsidP="006D4F64">
      <w:pPr>
        <w:pStyle w:val="ListParagraph"/>
        <w:numPr>
          <w:ilvl w:val="0"/>
          <w:numId w:val="1"/>
        </w:numPr>
        <w:ind w:left="714" w:hanging="357"/>
        <w:rPr>
          <w:rFonts w:asciiTheme="minorHAnsi" w:hAnsiTheme="minorHAnsi" w:cstheme="minorHAnsi"/>
        </w:rPr>
      </w:pPr>
      <w:r w:rsidRPr="00CE5141">
        <w:rPr>
          <w:rFonts w:asciiTheme="minorHAnsi" w:hAnsiTheme="minorHAnsi" w:cstheme="minorHAnsi"/>
        </w:rPr>
        <w:t xml:space="preserve">Ordin </w:t>
      </w:r>
      <w:r w:rsidR="004C2C23">
        <w:rPr>
          <w:rFonts w:asciiTheme="minorHAnsi" w:hAnsiTheme="minorHAnsi" w:cstheme="minorHAnsi"/>
        </w:rPr>
        <w:t xml:space="preserve">al </w:t>
      </w:r>
      <w:r w:rsidRPr="00CE5141">
        <w:rPr>
          <w:rFonts w:asciiTheme="minorHAnsi" w:hAnsiTheme="minorHAnsi" w:cstheme="minorHAnsi"/>
        </w:rPr>
        <w:t>Ministerului Comunicaţiilor şi Societăţii Informaţionale nr. 493/2009 privind normele tehnice şi metodologice pentru aplicarea Legii nr. 135/2007 privind arhivarea documentelor în formă electronică</w:t>
      </w:r>
    </w:p>
    <w:p w:rsidR="00A333CE" w:rsidRPr="00CE5141" w:rsidRDefault="00A333CE" w:rsidP="006D4F64">
      <w:pPr>
        <w:pStyle w:val="ListParagraph"/>
        <w:numPr>
          <w:ilvl w:val="0"/>
          <w:numId w:val="1"/>
        </w:numPr>
        <w:ind w:left="714" w:hanging="357"/>
        <w:rPr>
          <w:rFonts w:asciiTheme="minorHAnsi" w:hAnsiTheme="minorHAnsi" w:cstheme="minorHAnsi"/>
        </w:rPr>
      </w:pPr>
      <w:r w:rsidRPr="00CE5141">
        <w:rPr>
          <w:rFonts w:asciiTheme="minorHAnsi" w:hAnsiTheme="minorHAnsi" w:cstheme="minorHAnsi"/>
        </w:rPr>
        <w:t>Legea nr. 188/1999 privind Statutul funcționarilor publici, republicată, cu modificările și completările ulterioare</w:t>
      </w:r>
    </w:p>
    <w:p w:rsidR="00A333CE" w:rsidRDefault="00A333CE" w:rsidP="006D4F64">
      <w:pPr>
        <w:pStyle w:val="ListParagraph"/>
        <w:numPr>
          <w:ilvl w:val="0"/>
          <w:numId w:val="1"/>
        </w:numPr>
        <w:ind w:left="714" w:hanging="357"/>
        <w:rPr>
          <w:rFonts w:asciiTheme="minorHAnsi" w:hAnsiTheme="minorHAnsi" w:cstheme="minorHAnsi"/>
        </w:rPr>
      </w:pPr>
      <w:r w:rsidRPr="00CE5141">
        <w:rPr>
          <w:rFonts w:asciiTheme="minorHAnsi" w:hAnsiTheme="minorHAnsi" w:cstheme="minorHAnsi"/>
        </w:rPr>
        <w:t>Hotărârea Guvernului nr. 611/2008 pentru aprobarea normelor privind organizarea şi dezvoltarea carierei funcţionarilor publici, cu modificările și completările ulterioare</w:t>
      </w:r>
    </w:p>
    <w:p w:rsidR="00C525B8" w:rsidRPr="00CE5141" w:rsidRDefault="00C525B8" w:rsidP="00C525B8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Hotă</w:t>
      </w:r>
      <w:r w:rsidRPr="00C525B8">
        <w:rPr>
          <w:rFonts w:asciiTheme="minorHAnsi" w:hAnsiTheme="minorHAnsi" w:cstheme="minorHAnsi"/>
        </w:rPr>
        <w:t>râre</w:t>
      </w:r>
      <w:r>
        <w:rPr>
          <w:rFonts w:asciiTheme="minorHAnsi" w:hAnsiTheme="minorHAnsi" w:cstheme="minorHAnsi"/>
        </w:rPr>
        <w:t>a</w:t>
      </w:r>
      <w:r w:rsidRPr="00C525B8">
        <w:rPr>
          <w:rFonts w:asciiTheme="minorHAnsi" w:hAnsiTheme="minorHAnsi" w:cstheme="minorHAnsi"/>
        </w:rPr>
        <w:t xml:space="preserve"> Guvernului nr. 553</w:t>
      </w:r>
      <w:r>
        <w:rPr>
          <w:rFonts w:asciiTheme="minorHAnsi" w:hAnsiTheme="minorHAnsi" w:cstheme="minorHAnsi"/>
        </w:rPr>
        <w:t>/2009 privind stabilirea unor mă</w:t>
      </w:r>
      <w:r w:rsidRPr="00C525B8">
        <w:rPr>
          <w:rFonts w:asciiTheme="minorHAnsi" w:hAnsiTheme="minorHAnsi" w:cstheme="minorHAnsi"/>
        </w:rPr>
        <w:t>suri cu privire la eviden</w:t>
      </w:r>
      <w:r>
        <w:rPr>
          <w:rFonts w:asciiTheme="minorHAnsi" w:hAnsiTheme="minorHAnsi" w:cstheme="minorHAnsi"/>
        </w:rPr>
        <w:t>ța funcț</w:t>
      </w:r>
      <w:r w:rsidRPr="00C525B8">
        <w:rPr>
          <w:rFonts w:asciiTheme="minorHAnsi" w:hAnsiTheme="minorHAnsi" w:cstheme="minorHAnsi"/>
        </w:rPr>
        <w:t xml:space="preserve">iilor publice </w:t>
      </w:r>
      <w:r>
        <w:rPr>
          <w:rFonts w:asciiTheme="minorHAnsi" w:hAnsiTheme="minorHAnsi" w:cstheme="minorHAnsi"/>
        </w:rPr>
        <w:t>ș</w:t>
      </w:r>
      <w:r w:rsidRPr="00C525B8">
        <w:rPr>
          <w:rFonts w:asciiTheme="minorHAnsi" w:hAnsiTheme="minorHAnsi" w:cstheme="minorHAnsi"/>
        </w:rPr>
        <w:t>i a func</w:t>
      </w:r>
      <w:r>
        <w:rPr>
          <w:rFonts w:asciiTheme="minorHAnsi" w:hAnsiTheme="minorHAnsi" w:cstheme="minorHAnsi"/>
        </w:rPr>
        <w:t>ț</w:t>
      </w:r>
      <w:r w:rsidRPr="00C525B8">
        <w:rPr>
          <w:rFonts w:asciiTheme="minorHAnsi" w:hAnsiTheme="minorHAnsi" w:cstheme="minorHAnsi"/>
        </w:rPr>
        <w:t>ionarilor publici</w:t>
      </w:r>
    </w:p>
    <w:p w:rsidR="00A333CE" w:rsidRPr="00CE5141" w:rsidRDefault="004C2C23" w:rsidP="006D4F64">
      <w:pPr>
        <w:pStyle w:val="ListParagraph"/>
        <w:numPr>
          <w:ilvl w:val="0"/>
          <w:numId w:val="1"/>
        </w:numPr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Ordin al P</w:t>
      </w:r>
      <w:r w:rsidR="00A333CE" w:rsidRPr="00CE5141">
        <w:rPr>
          <w:rFonts w:asciiTheme="minorHAnsi" w:hAnsiTheme="minorHAnsi" w:cstheme="minorHAnsi"/>
        </w:rPr>
        <w:t>reşedintelui Agenţiei Naţionale a Funcţionarilor Publici nr. 4.040/2012 privind aprobarea listei documentelor necesare pentru obţinerea avizului Agenţiei Naţionale a Funcţionarilor Publici, precum şi a modalităţii de transmitere a acestora de către autorităţile şi instituţiile publice şi pentru aprobarea modelului-cadru de stat de funcţii, modificat</w:t>
      </w:r>
    </w:p>
    <w:p w:rsidR="00A333CE" w:rsidRPr="00CE5141" w:rsidRDefault="004C2C23" w:rsidP="006D4F64">
      <w:pPr>
        <w:pStyle w:val="ListParagraph"/>
        <w:numPr>
          <w:ilvl w:val="0"/>
          <w:numId w:val="1"/>
        </w:numPr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Ordin al P</w:t>
      </w:r>
      <w:r w:rsidR="00A333CE" w:rsidRPr="00CE5141">
        <w:rPr>
          <w:rFonts w:asciiTheme="minorHAnsi" w:hAnsiTheme="minorHAnsi" w:cstheme="minorHAnsi"/>
        </w:rPr>
        <w:t>reşedintelui Agenţiei Naţionale a Funcţionarilor Publici nr. 13.601/2008 pentru aprobarea termenelor şi a formatului standard de transmitere a datelor şi informaţiilor privind planul anual de perfecţionare profesională şi fondurile alocate în scopul instruirii funcţionarilor publici, cu modificările și completările ulterioare</w:t>
      </w:r>
    </w:p>
    <w:p w:rsidR="00A333CE" w:rsidRPr="00CE5141" w:rsidRDefault="00A333CE" w:rsidP="006D4F64">
      <w:pPr>
        <w:pStyle w:val="ListParagraph"/>
        <w:numPr>
          <w:ilvl w:val="0"/>
          <w:numId w:val="1"/>
        </w:numPr>
        <w:ind w:left="714" w:hanging="357"/>
        <w:rPr>
          <w:rFonts w:asciiTheme="minorHAnsi" w:hAnsiTheme="minorHAnsi" w:cstheme="minorHAnsi"/>
        </w:rPr>
      </w:pPr>
      <w:r w:rsidRPr="00CE5141">
        <w:rPr>
          <w:rFonts w:asciiTheme="minorHAnsi" w:hAnsiTheme="minorHAnsi" w:cstheme="minorHAnsi"/>
        </w:rPr>
        <w:t xml:space="preserve">Ordin </w:t>
      </w:r>
      <w:r w:rsidR="004C2C23">
        <w:rPr>
          <w:rFonts w:asciiTheme="minorHAnsi" w:hAnsiTheme="minorHAnsi" w:cstheme="minorHAnsi"/>
        </w:rPr>
        <w:t>al P</w:t>
      </w:r>
      <w:r w:rsidRPr="00CE5141">
        <w:rPr>
          <w:rFonts w:asciiTheme="minorHAnsi" w:hAnsiTheme="minorHAnsi" w:cstheme="minorHAnsi"/>
        </w:rPr>
        <w:t>reşedintelui Agenţiei Naţionale a Funcţionarilor Publici nr. 1496/2009 pentru aprobarea formatului standard, a termenelor şi modalităţii de transmitere a datelor privind comisiile paritare şi acordurile colective</w:t>
      </w:r>
    </w:p>
    <w:p w:rsidR="00A333CE" w:rsidRPr="00CE5141" w:rsidRDefault="00A333CE" w:rsidP="006D4F64">
      <w:pPr>
        <w:pStyle w:val="ListParagraph"/>
        <w:numPr>
          <w:ilvl w:val="0"/>
          <w:numId w:val="1"/>
        </w:numPr>
        <w:ind w:left="714" w:hanging="357"/>
        <w:rPr>
          <w:rFonts w:asciiTheme="minorHAnsi" w:hAnsiTheme="minorHAnsi" w:cstheme="minorHAnsi"/>
        </w:rPr>
      </w:pPr>
      <w:r w:rsidRPr="00CE5141">
        <w:rPr>
          <w:rFonts w:asciiTheme="minorHAnsi" w:hAnsiTheme="minorHAnsi" w:cstheme="minorHAnsi"/>
        </w:rPr>
        <w:t>Ordin</w:t>
      </w:r>
      <w:r w:rsidR="004C2C23">
        <w:rPr>
          <w:rFonts w:asciiTheme="minorHAnsi" w:hAnsiTheme="minorHAnsi" w:cstheme="minorHAnsi"/>
        </w:rPr>
        <w:t xml:space="preserve"> al</w:t>
      </w:r>
      <w:r w:rsidRPr="00CE5141">
        <w:rPr>
          <w:rFonts w:asciiTheme="minorHAnsi" w:hAnsiTheme="minorHAnsi" w:cstheme="minorHAnsi"/>
        </w:rPr>
        <w:t xml:space="preserve"> </w:t>
      </w:r>
      <w:r w:rsidR="004C2C23">
        <w:rPr>
          <w:rFonts w:asciiTheme="minorHAnsi" w:hAnsiTheme="minorHAnsi" w:cstheme="minorHAnsi"/>
        </w:rPr>
        <w:t>P</w:t>
      </w:r>
      <w:r w:rsidRPr="00CE5141">
        <w:rPr>
          <w:rFonts w:asciiTheme="minorHAnsi" w:hAnsiTheme="minorHAnsi" w:cstheme="minorHAnsi"/>
        </w:rPr>
        <w:t>reşedintelui Agenţiei Naţionale a Funcţionarilor Publici nr. 1355/2009 pentru aprobarea Instrucţiunilor de completare a formatelor-standard şi de transmitere a datelor şi informaţiilor cu privire la evidenţa funcţiilor publice şi a funcţionarilor publici</w:t>
      </w:r>
    </w:p>
    <w:p w:rsidR="007C5722" w:rsidRPr="00CE5141" w:rsidRDefault="00A333CE" w:rsidP="006D4F64">
      <w:pPr>
        <w:pStyle w:val="ListParagraph"/>
        <w:numPr>
          <w:ilvl w:val="0"/>
          <w:numId w:val="1"/>
        </w:numPr>
        <w:ind w:left="714" w:hanging="357"/>
        <w:rPr>
          <w:rFonts w:asciiTheme="minorHAnsi" w:hAnsiTheme="minorHAnsi" w:cstheme="minorHAnsi"/>
        </w:rPr>
      </w:pPr>
      <w:r w:rsidRPr="00CE5141">
        <w:rPr>
          <w:rFonts w:asciiTheme="minorHAnsi" w:hAnsiTheme="minorHAnsi" w:cstheme="minorHAnsi"/>
        </w:rPr>
        <w:t xml:space="preserve">Ordin </w:t>
      </w:r>
      <w:r w:rsidR="004C2C23">
        <w:rPr>
          <w:rFonts w:asciiTheme="minorHAnsi" w:hAnsiTheme="minorHAnsi" w:cstheme="minorHAnsi"/>
        </w:rPr>
        <w:t>al P</w:t>
      </w:r>
      <w:r w:rsidRPr="00CE5141">
        <w:rPr>
          <w:rFonts w:asciiTheme="minorHAnsi" w:hAnsiTheme="minorHAnsi" w:cstheme="minorHAnsi"/>
        </w:rPr>
        <w:t>reşedintelui Agenţiei Naţionale a Funcţionarilor Publici nr. 7660/2006 privind aprobarea Instrucţiunilor pentru elaborarea Planului de ocupare a funcţiilor publice</w:t>
      </w:r>
    </w:p>
    <w:sectPr w:rsidR="007C5722" w:rsidRPr="00CE5141" w:rsidSect="0062485D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56" w:right="1418" w:bottom="709" w:left="1418" w:header="0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B74" w:rsidRDefault="00FE4B74" w:rsidP="001F1EB0">
      <w:pPr>
        <w:spacing w:after="0" w:line="240" w:lineRule="auto"/>
      </w:pPr>
      <w:r>
        <w:separator/>
      </w:r>
    </w:p>
  </w:endnote>
  <w:endnote w:type="continuationSeparator" w:id="0">
    <w:p w:rsidR="00FE4B74" w:rsidRDefault="00FE4B74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690" w:rsidRDefault="00147D2E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>Bd. Mircea Vodă, nr. 44, tronsonul III, sector 3, Bucureşti</w:t>
    </w:r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begin"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instrText xml:space="preserve"> PAGE   \* MERGEFORMAT </w:instrText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separate"/>
    </w:r>
    <w:r w:rsidR="00880E91">
      <w:rPr>
        <w:rFonts w:ascii="Arial Narrow" w:hAnsi="Arial Narrow" w:cs="Arial"/>
        <w:b/>
        <w:i/>
        <w:noProof/>
        <w:sz w:val="16"/>
        <w:szCs w:val="16"/>
        <w:lang w:val="en-US"/>
      </w:rPr>
      <w:t>2</w:t>
    </w:r>
    <w:r w:rsidR="0062485D" w:rsidRPr="0062485D">
      <w:rPr>
        <w:rFonts w:ascii="Arial Narrow" w:hAnsi="Arial Narrow" w:cs="Arial"/>
        <w:b/>
        <w:i/>
        <w:noProof/>
        <w:sz w:val="16"/>
        <w:szCs w:val="16"/>
        <w:lang w:val="en-US"/>
      </w:rPr>
      <w:fldChar w:fldCharType="end"/>
    </w:r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85D" w:rsidRDefault="0062485D" w:rsidP="0062485D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>Bd. Mircea Vodă, nr. 44, tronsonul III, sector 3, Bucureşti</w:t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B74" w:rsidRDefault="00FE4B74" w:rsidP="001F1EB0">
      <w:pPr>
        <w:spacing w:after="0" w:line="240" w:lineRule="auto"/>
      </w:pPr>
      <w:r>
        <w:separator/>
      </w:r>
    </w:p>
  </w:footnote>
  <w:footnote w:type="continuationSeparator" w:id="0">
    <w:p w:rsidR="00FE4B74" w:rsidRDefault="00FE4B74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B0" w:rsidRDefault="00880E91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left:0;text-align:left;margin-left:0;margin-top:0;width:595.2pt;height:841.7pt;z-index:-251658752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85D" w:rsidRDefault="00880E91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9" o:spid="_x0000_s2052" type="#_x0000_t75" style="position:absolute;left:0;text-align:left;margin-left:-71.7pt;margin-top:-48.7pt;width:595.2pt;height:109.75pt;z-index:-251656704;mso-position-horizontal-relative:margin;mso-position-vertical-relative:margin" o:allowincell="f">
          <v:imagedata r:id="rId1" o:title="antet anfp mdrap5" cropbottom="56991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84FD1"/>
    <w:multiLevelType w:val="hybridMultilevel"/>
    <w:tmpl w:val="D1AEB2EE"/>
    <w:lvl w:ilvl="0" w:tplc="FF6696C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6CF"/>
    <w:rsid w:val="00076119"/>
    <w:rsid w:val="00097E88"/>
    <w:rsid w:val="000A7252"/>
    <w:rsid w:val="000B61D6"/>
    <w:rsid w:val="000C199E"/>
    <w:rsid w:val="000F72EB"/>
    <w:rsid w:val="00121085"/>
    <w:rsid w:val="00145CB2"/>
    <w:rsid w:val="00147D2E"/>
    <w:rsid w:val="00170D96"/>
    <w:rsid w:val="001B0BA7"/>
    <w:rsid w:val="001B6478"/>
    <w:rsid w:val="001F1EB0"/>
    <w:rsid w:val="00246032"/>
    <w:rsid w:val="002B60C8"/>
    <w:rsid w:val="002F40DF"/>
    <w:rsid w:val="00327B8C"/>
    <w:rsid w:val="003375CD"/>
    <w:rsid w:val="0035715D"/>
    <w:rsid w:val="00360998"/>
    <w:rsid w:val="003D6D60"/>
    <w:rsid w:val="003F0955"/>
    <w:rsid w:val="00400A46"/>
    <w:rsid w:val="004034A0"/>
    <w:rsid w:val="004805B9"/>
    <w:rsid w:val="004C2C23"/>
    <w:rsid w:val="0062485D"/>
    <w:rsid w:val="006512FB"/>
    <w:rsid w:val="006D4F64"/>
    <w:rsid w:val="00730AEB"/>
    <w:rsid w:val="00770D8C"/>
    <w:rsid w:val="00780A6D"/>
    <w:rsid w:val="007C5722"/>
    <w:rsid w:val="007E611A"/>
    <w:rsid w:val="00880E91"/>
    <w:rsid w:val="00896E93"/>
    <w:rsid w:val="008D30DC"/>
    <w:rsid w:val="008F5046"/>
    <w:rsid w:val="00954D6F"/>
    <w:rsid w:val="00997621"/>
    <w:rsid w:val="00A333CE"/>
    <w:rsid w:val="00A51347"/>
    <w:rsid w:val="00A91525"/>
    <w:rsid w:val="00B211C6"/>
    <w:rsid w:val="00B75237"/>
    <w:rsid w:val="00B846CF"/>
    <w:rsid w:val="00C43FB8"/>
    <w:rsid w:val="00C525B8"/>
    <w:rsid w:val="00C64404"/>
    <w:rsid w:val="00C70C30"/>
    <w:rsid w:val="00CD7882"/>
    <w:rsid w:val="00CE5141"/>
    <w:rsid w:val="00D504F2"/>
    <w:rsid w:val="00D77E53"/>
    <w:rsid w:val="00DE5690"/>
    <w:rsid w:val="00E03F7C"/>
    <w:rsid w:val="00E21F74"/>
    <w:rsid w:val="00E403BE"/>
    <w:rsid w:val="00EA0244"/>
    <w:rsid w:val="00EC282D"/>
    <w:rsid w:val="00EE7A7F"/>
    <w:rsid w:val="00EF1E3D"/>
    <w:rsid w:val="00F2086D"/>
    <w:rsid w:val="00F92413"/>
    <w:rsid w:val="00FB2A7E"/>
    <w:rsid w:val="00FE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85D"/>
    <w:pPr>
      <w:spacing w:after="120" w:line="276" w:lineRule="auto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table" w:styleId="TableGrid">
    <w:name w:val="Table Grid"/>
    <w:basedOn w:val="TableNormal"/>
    <w:uiPriority w:val="59"/>
    <w:rsid w:val="007C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5">
    <w:name w:val="Medium Shading 1 Accent 5"/>
    <w:basedOn w:val="TableNormal"/>
    <w:uiPriority w:val="63"/>
    <w:rsid w:val="000C199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2-Accent5">
    <w:name w:val="Medium Grid 2 Accent 5"/>
    <w:basedOn w:val="TableNormal"/>
    <w:uiPriority w:val="68"/>
    <w:rsid w:val="000C19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ListParagraph">
    <w:name w:val="List Paragraph"/>
    <w:basedOn w:val="Normal"/>
    <w:uiPriority w:val="34"/>
    <w:qFormat/>
    <w:rsid w:val="00A333CE"/>
    <w:pPr>
      <w:spacing w:after="0" w:line="240" w:lineRule="auto"/>
      <w:ind w:left="720"/>
      <w:jc w:val="left"/>
    </w:pPr>
    <w:rPr>
      <w:rFonts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4805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05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05B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5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5B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5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85D"/>
    <w:pPr>
      <w:spacing w:after="120" w:line="276" w:lineRule="auto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table" w:styleId="TableGrid">
    <w:name w:val="Table Grid"/>
    <w:basedOn w:val="TableNormal"/>
    <w:uiPriority w:val="59"/>
    <w:rsid w:val="007C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5">
    <w:name w:val="Medium Shading 1 Accent 5"/>
    <w:basedOn w:val="TableNormal"/>
    <w:uiPriority w:val="63"/>
    <w:rsid w:val="000C199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2-Accent5">
    <w:name w:val="Medium Grid 2 Accent 5"/>
    <w:basedOn w:val="TableNormal"/>
    <w:uiPriority w:val="68"/>
    <w:rsid w:val="000C19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ListParagraph">
    <w:name w:val="List Paragraph"/>
    <w:basedOn w:val="Normal"/>
    <w:uiPriority w:val="34"/>
    <w:qFormat/>
    <w:rsid w:val="00A333CE"/>
    <w:pPr>
      <w:spacing w:after="0" w:line="240" w:lineRule="auto"/>
      <w:ind w:left="720"/>
      <w:jc w:val="left"/>
    </w:pPr>
    <w:rPr>
      <w:rFonts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4805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05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05B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5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5B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5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o/url?sa=i&amp;rct=j&amp;q=&amp;esrc=s&amp;frm=1&amp;source=images&amp;cd=&amp;cad=rja&amp;uact=8&amp;ved=0CAcQjRw&amp;url=http://www.avocat-firme.info/infiintare-firma-intrebari-si-raspunsuri.html&amp;ei=6eaMVenWBsfoUoHwgZgK&amp;bvm=bv.96782255,d.d24&amp;psig=AFQjCNFL_xIn0JpiVgpr7oKlx_GfFpON7A&amp;ust=1435383872406777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1001</Words>
  <Characters>5806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CERTSIGN SA</Company>
  <LinksUpToDate>false</LinksUpToDate>
  <CharactersWithSpaces>6794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Hartopeanu</dc:creator>
  <cp:lastModifiedBy>Catalina Burcea</cp:lastModifiedBy>
  <cp:revision>2</cp:revision>
  <cp:lastPrinted>2015-06-29T07:40:00Z</cp:lastPrinted>
  <dcterms:created xsi:type="dcterms:W3CDTF">2015-07-24T09:53:00Z</dcterms:created>
  <dcterms:modified xsi:type="dcterms:W3CDTF">2015-07-24T09:53:00Z</dcterms:modified>
</cp:coreProperties>
</file>