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F2" w:rsidRPr="00803EA8" w:rsidRDefault="004412F2">
      <w:pPr>
        <w:rPr>
          <w:lang w:val="ro-RO"/>
        </w:rPr>
      </w:pPr>
    </w:p>
    <w:p w:rsidR="00791D6A" w:rsidRPr="00803EA8" w:rsidRDefault="00791D6A">
      <w:pPr>
        <w:rPr>
          <w:lang w:val="ro-RO"/>
        </w:rPr>
      </w:pPr>
    </w:p>
    <w:p w:rsidR="00791D6A" w:rsidRPr="00803EA8" w:rsidRDefault="00791D6A">
      <w:pPr>
        <w:rPr>
          <w:lang w:val="ro-RO"/>
        </w:rPr>
      </w:pPr>
    </w:p>
    <w:p w:rsidR="00791D6A" w:rsidRPr="00803EA8" w:rsidRDefault="00791D6A">
      <w:pPr>
        <w:rPr>
          <w:lang w:val="ro-RO"/>
        </w:rPr>
      </w:pPr>
    </w:p>
    <w:p w:rsidR="00791D6A" w:rsidRPr="00803EA8" w:rsidRDefault="00791D6A" w:rsidP="00791D6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791D6A" w:rsidRPr="00803EA8" w:rsidRDefault="00791D6A" w:rsidP="00791D6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803EA8">
        <w:rPr>
          <w:rFonts w:ascii="Times New Roman" w:hAnsi="Times New Roman" w:cs="Times New Roman"/>
          <w:sz w:val="32"/>
          <w:szCs w:val="32"/>
          <w:lang w:val="ro-RO"/>
        </w:rPr>
        <w:t xml:space="preserve">Sistemul </w:t>
      </w:r>
      <w:proofErr w:type="spellStart"/>
      <w:r w:rsidRPr="00803EA8">
        <w:rPr>
          <w:rFonts w:ascii="Times New Roman" w:hAnsi="Times New Roman" w:cs="Times New Roman"/>
          <w:sz w:val="32"/>
          <w:szCs w:val="32"/>
          <w:lang w:val="ro-RO"/>
        </w:rPr>
        <w:t>administraţiei</w:t>
      </w:r>
      <w:proofErr w:type="spellEnd"/>
      <w:r w:rsidRPr="00803EA8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proofErr w:type="spellStart"/>
      <w:r w:rsidRPr="00803EA8">
        <w:rPr>
          <w:rFonts w:ascii="Times New Roman" w:hAnsi="Times New Roman" w:cs="Times New Roman"/>
          <w:sz w:val="32"/>
          <w:szCs w:val="32"/>
          <w:lang w:val="ro-RO"/>
        </w:rPr>
        <w:t>şi</w:t>
      </w:r>
      <w:proofErr w:type="spellEnd"/>
      <w:r w:rsidRPr="00803EA8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proofErr w:type="spellStart"/>
      <w:r w:rsidRPr="00803EA8">
        <w:rPr>
          <w:rFonts w:ascii="Times New Roman" w:hAnsi="Times New Roman" w:cs="Times New Roman"/>
          <w:sz w:val="32"/>
          <w:szCs w:val="32"/>
          <w:lang w:val="ro-RO"/>
        </w:rPr>
        <w:t>funcţiei</w:t>
      </w:r>
      <w:proofErr w:type="spellEnd"/>
      <w:r w:rsidRPr="00803EA8">
        <w:rPr>
          <w:rFonts w:ascii="Times New Roman" w:hAnsi="Times New Roman" w:cs="Times New Roman"/>
          <w:sz w:val="32"/>
          <w:szCs w:val="32"/>
          <w:lang w:val="ro-RO"/>
        </w:rPr>
        <w:t xml:space="preserve"> publice în Italia</w:t>
      </w:r>
    </w:p>
    <w:p w:rsidR="00791D6A" w:rsidRPr="00803EA8" w:rsidRDefault="00791D6A" w:rsidP="00791D6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803EA8">
        <w:rPr>
          <w:rFonts w:ascii="Times New Roman" w:hAnsi="Times New Roman" w:cs="Times New Roman"/>
          <w:sz w:val="32"/>
          <w:szCs w:val="32"/>
          <w:lang w:val="ro-RO"/>
        </w:rPr>
        <w:t>Studiu</w:t>
      </w:r>
    </w:p>
    <w:p w:rsidR="00791D6A" w:rsidRPr="00803EA8" w:rsidRDefault="00791D6A" w:rsidP="00791D6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791D6A" w:rsidRPr="00803EA8" w:rsidRDefault="00791D6A" w:rsidP="00791D6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803EA8">
        <w:rPr>
          <w:rFonts w:ascii="Times New Roman" w:hAnsi="Times New Roman" w:cs="Times New Roman"/>
          <w:sz w:val="32"/>
          <w:szCs w:val="32"/>
          <w:lang w:val="ro-RO"/>
        </w:rPr>
        <w:drawing>
          <wp:inline distT="0" distB="0" distL="0" distR="0">
            <wp:extent cx="4752975" cy="3170172"/>
            <wp:effectExtent l="19050" t="0" r="9525" b="0"/>
            <wp:docPr id="2" name="Picture 0" descr="Flag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of_Italy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545" cy="3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D6A" w:rsidRPr="00803EA8" w:rsidRDefault="00803EA8" w:rsidP="00791D6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803EA8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AB82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791D6A" w:rsidRPr="00803EA8" w:rsidRDefault="00791D6A" w:rsidP="00791D6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791D6A" w:rsidRPr="00803EA8" w:rsidRDefault="00791D6A" w:rsidP="00791D6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791D6A" w:rsidRPr="00803EA8" w:rsidRDefault="00791D6A" w:rsidP="00791D6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91D6A" w:rsidRPr="00803EA8" w:rsidRDefault="00427024" w:rsidP="00791D6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803EA8">
        <w:rPr>
          <w:rFonts w:ascii="Times New Roman" w:hAnsi="Times New Roman" w:cs="Times New Roman"/>
          <w:sz w:val="28"/>
          <w:szCs w:val="28"/>
          <w:lang w:val="ro-RO"/>
        </w:rPr>
        <w:t>Bucureşti</w:t>
      </w:r>
      <w:proofErr w:type="spellEnd"/>
      <w:r w:rsidRPr="00803EA8">
        <w:rPr>
          <w:rFonts w:ascii="Times New Roman" w:hAnsi="Times New Roman" w:cs="Times New Roman"/>
          <w:sz w:val="28"/>
          <w:szCs w:val="28"/>
          <w:lang w:val="ro-RO"/>
        </w:rPr>
        <w:t xml:space="preserve"> 2014</w:t>
      </w:r>
    </w:p>
    <w:p w:rsidR="00791D6A" w:rsidRPr="00803EA8" w:rsidRDefault="00791D6A" w:rsidP="00791D6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3EA8">
        <w:rPr>
          <w:rFonts w:ascii="Times New Roman" w:hAnsi="Times New Roman" w:cs="Times New Roman"/>
          <w:sz w:val="28"/>
          <w:szCs w:val="28"/>
          <w:lang w:val="ro-RO"/>
        </w:rPr>
        <w:lastRenderedPageBreak/>
        <w:drawing>
          <wp:inline distT="0" distB="0" distL="0" distR="0">
            <wp:extent cx="1371600" cy="1547446"/>
            <wp:effectExtent l="0" t="0" r="0" b="0"/>
            <wp:docPr id="3" name="Picture 2" descr="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of_Ital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4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D6A" w:rsidRPr="00803EA8" w:rsidRDefault="00791D6A" w:rsidP="00321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>Republica Italiană</w:t>
      </w:r>
    </w:p>
    <w:p w:rsidR="00AC17E2" w:rsidRPr="00803EA8" w:rsidRDefault="00AC17E2" w:rsidP="00321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>Capitală: Roma</w:t>
      </w:r>
    </w:p>
    <w:p w:rsidR="00AC17E2" w:rsidRPr="00803EA8" w:rsidRDefault="00AC17E2" w:rsidP="00321C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 w:rsidRPr="00803EA8">
        <w:rPr>
          <w:rFonts w:ascii="Times New Roman" w:hAnsi="Times New Roman" w:cs="Times New Roman"/>
          <w:sz w:val="24"/>
          <w:szCs w:val="24"/>
          <w:lang w:val="ro-RO"/>
        </w:rPr>
        <w:t>Suprafaţă</w:t>
      </w:r>
      <w:proofErr w:type="spellEnd"/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D8737F">
        <w:rPr>
          <w:rFonts w:ascii="Times New Roman" w:eastAsia="Times New Roman" w:hAnsi="Times New Roman" w:cs="Times New Roman"/>
          <w:sz w:val="24"/>
          <w:szCs w:val="24"/>
          <w:lang w:val="ro-RO"/>
        </w:rPr>
        <w:t>301,340 km² </w:t>
      </w:r>
    </w:p>
    <w:p w:rsidR="00AC17E2" w:rsidRPr="00803EA8" w:rsidRDefault="00AC17E2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  <w:lang w:val="ro-RO"/>
        </w:rPr>
      </w:pPr>
      <w:proofErr w:type="spellStart"/>
      <w:r w:rsidRPr="00803EA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Populaţie</w:t>
      </w:r>
      <w:proofErr w:type="spellEnd"/>
      <w:r w:rsidRPr="00803EA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: </w:t>
      </w: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  <w:lang w:val="ro-RO"/>
        </w:rPr>
        <w:t>60.776.531 loc.</w:t>
      </w:r>
    </w:p>
    <w:p w:rsidR="00AC17E2" w:rsidRPr="00803EA8" w:rsidRDefault="00AC17E2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  <w:lang w:val="ro-RO"/>
        </w:rPr>
        <w:t>Limbă oficială: italiană</w:t>
      </w:r>
    </w:p>
    <w:p w:rsidR="00AC17E2" w:rsidRPr="00803EA8" w:rsidRDefault="00AC17E2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  <w:lang w:val="ro-RO"/>
        </w:rPr>
        <w:t>Monedă oficială: euro</w:t>
      </w:r>
    </w:p>
    <w:p w:rsidR="00AC17E2" w:rsidRPr="00803EA8" w:rsidRDefault="00AC17E2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  <w:lang w:val="ro-RO"/>
        </w:rPr>
        <w:t>Sistem politic: republică democratică</w:t>
      </w:r>
    </w:p>
    <w:p w:rsidR="00315779" w:rsidRPr="00803EA8" w:rsidRDefault="00A55E5B" w:rsidP="00321C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ab/>
      </w:r>
      <w:r w:rsidR="00315779" w:rsidRPr="00803E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Italia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oficial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803E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Republica Italiană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este un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7" w:tooltip="Listă de state suverane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stat suveran</w:t>
        </w:r>
      </w:hyperlink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8" w:tooltip="Europa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european</w:t>
        </w:r>
      </w:hyperlink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situat în cea mai mare parte pe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9" w:tooltip="Peninsula Italică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Peninsula Italică</w:t>
        </w:r>
      </w:hyperlink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F040BF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="00F040BF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cuprinzând </w:t>
      </w:r>
      <w:proofErr w:type="spellStart"/>
      <w:r w:rsidR="00F040BF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câteva insule la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10" w:tooltip="Marea Mediterană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Marea Mediterană</w:t>
        </w:r>
      </w:hyperlink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cele mai importante fiind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11" w:tooltip="Sicilia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Sicilia</w:t>
        </w:r>
      </w:hyperlink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C019B4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hyperlink r:id="rId12" w:tooltip="Sardinia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Sardinia</w:t>
        </w:r>
      </w:hyperlink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Se învecinează cu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921B0A" w:rsidRPr="00803EA8">
        <w:rPr>
          <w:lang w:val="ro-RO"/>
        </w:rPr>
        <w:fldChar w:fldCharType="begin"/>
      </w:r>
      <w:r w:rsidR="00921B0A" w:rsidRPr="00803EA8">
        <w:rPr>
          <w:lang w:val="ro-RO"/>
        </w:rPr>
        <w:instrText xml:space="preserve"> HYPERLINK "http://ro.wikipedia.org/wiki/Fran%C8%9Ba" \o "Franța" </w:instrText>
      </w:r>
      <w:r w:rsidR="00921B0A" w:rsidRPr="00803EA8">
        <w:rPr>
          <w:lang w:val="ro-RO"/>
        </w:rPr>
        <w:fldChar w:fldCharType="separate"/>
      </w:r>
      <w:r w:rsidR="00267662" w:rsidRPr="00803EA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Franţ</w:t>
      </w:r>
      <w:r w:rsidR="00315779" w:rsidRPr="00803EA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a</w:t>
      </w:r>
      <w:proofErr w:type="spellEnd"/>
      <w:r w:rsidR="00921B0A" w:rsidRPr="00803EA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fldChar w:fldCharType="end"/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la nord-vest,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921B0A" w:rsidRPr="00803EA8">
        <w:rPr>
          <w:lang w:val="ro-RO"/>
        </w:rPr>
        <w:fldChar w:fldCharType="begin"/>
      </w:r>
      <w:r w:rsidR="00921B0A" w:rsidRPr="00803EA8">
        <w:rPr>
          <w:lang w:val="ro-RO"/>
        </w:rPr>
        <w:instrText xml:space="preserve"> HYPERLINK "http://ro.wikipedia.org/wiki/Elve%C8%9Bia" \o "Elveția" </w:instrText>
      </w:r>
      <w:r w:rsidR="00921B0A" w:rsidRPr="00803EA8">
        <w:rPr>
          <w:lang w:val="ro-RO"/>
        </w:rPr>
        <w:fldChar w:fldCharType="separate"/>
      </w:r>
      <w:r w:rsidR="00267662" w:rsidRPr="00803EA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Elveţ</w:t>
      </w:r>
      <w:r w:rsidR="00315779" w:rsidRPr="00803EA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ia</w:t>
      </w:r>
      <w:proofErr w:type="spellEnd"/>
      <w:r w:rsidR="00921B0A" w:rsidRPr="00803EA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fldChar w:fldCharType="end"/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267662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13" w:tooltip="Austria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Austria</w:t>
        </w:r>
      </w:hyperlink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C019B4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nord </w:t>
      </w:r>
      <w:proofErr w:type="spellStart"/>
      <w:r w:rsidR="00C019B4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14" w:tooltip="Slovenia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Slovenia</w:t>
        </w:r>
      </w:hyperlink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nord-est. De asemenea înconjoară două </w:t>
      </w:r>
      <w:proofErr w:type="spellStart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exclave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independente: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15" w:tooltip="San Marino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San Marino</w:t>
        </w:r>
      </w:hyperlink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E16581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16" w:tooltip="Vatican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Vatican</w:t>
        </w:r>
      </w:hyperlink>
      <w:r w:rsidR="00E16581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16581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="00E16581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are </w:t>
      </w:r>
      <w:proofErr w:type="spellStart"/>
      <w:r w:rsidR="00E16581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805095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805095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 </w:t>
      </w:r>
      <w:proofErr w:type="spellStart"/>
      <w:r w:rsidR="00805095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exclavă</w:t>
      </w:r>
      <w:proofErr w:type="spellEnd"/>
      <w:r w:rsidR="00805095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înconjurată de </w:t>
      </w:r>
      <w:proofErr w:type="spellStart"/>
      <w:r w:rsidR="00805095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Elveţ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ia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numită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315779" w:rsidRPr="00D8737F">
        <w:rPr>
          <w:rFonts w:ascii="Times New Roman" w:hAnsi="Times New Roman" w:cs="Times New Roman"/>
          <w:sz w:val="24"/>
          <w:szCs w:val="24"/>
          <w:lang w:val="ro-RO"/>
        </w:rPr>
        <w:t>Campione</w:t>
      </w:r>
      <w:proofErr w:type="spellEnd"/>
      <w:r w:rsidR="00315779" w:rsidRPr="00D873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15779" w:rsidRPr="00D8737F">
        <w:rPr>
          <w:rFonts w:ascii="Times New Roman" w:hAnsi="Times New Roman" w:cs="Times New Roman"/>
          <w:sz w:val="24"/>
          <w:szCs w:val="24"/>
          <w:lang w:val="ro-RO"/>
        </w:rPr>
        <w:t>d'Italia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Capitala Italiei este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D8737F">
        <w:rPr>
          <w:rFonts w:ascii="Times New Roman" w:hAnsi="Times New Roman" w:cs="Times New Roman"/>
          <w:sz w:val="24"/>
          <w:szCs w:val="24"/>
          <w:lang w:val="ro-RO"/>
        </w:rPr>
        <w:t>Roma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315779" w:rsidRPr="00803EA8" w:rsidRDefault="00A55E5B" w:rsidP="00321C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Italia a fost un loc de origine al multor culturi europene, precum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17" w:tooltip="Etrusci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etrusci</w:t>
        </w:r>
      </w:hyperlink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3B42A6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18" w:tooltip="Romani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romani</w:t>
        </w:r>
      </w:hyperlink>
      <w:r w:rsidR="00187DB2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87DB2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="00187DB2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 </w:t>
      </w:r>
      <w:proofErr w:type="spellStart"/>
      <w:r w:rsidR="00187DB2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cărilor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culturale moderne, cea mai notabilă fiind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3B42A6" w:rsidRPr="00D234B4">
        <w:rPr>
          <w:rFonts w:ascii="Times New Roman" w:hAnsi="Times New Roman" w:cs="Times New Roman"/>
          <w:sz w:val="24"/>
          <w:szCs w:val="24"/>
          <w:lang w:val="ro-RO"/>
        </w:rPr>
        <w:t>Renaş</w:t>
      </w:r>
      <w:r w:rsidR="00315779" w:rsidRPr="00D234B4">
        <w:rPr>
          <w:rFonts w:ascii="Times New Roman" w:hAnsi="Times New Roman" w:cs="Times New Roman"/>
          <w:sz w:val="24"/>
          <w:szCs w:val="24"/>
          <w:lang w:val="ro-RO"/>
        </w:rPr>
        <w:t>terea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Roma este un sediu al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D234B4">
        <w:rPr>
          <w:rFonts w:ascii="Times New Roman" w:hAnsi="Times New Roman" w:cs="Times New Roman"/>
          <w:sz w:val="24"/>
          <w:szCs w:val="24"/>
          <w:lang w:val="ro-RO"/>
        </w:rPr>
        <w:t>Bisericii Romano-Catolice</w:t>
      </w:r>
      <w:r w:rsidR="00187DB2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87DB2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fost pentru o </w:t>
      </w:r>
      <w:r w:rsidR="003912ED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perioadă lungă centrul </w:t>
      </w:r>
      <w:proofErr w:type="spellStart"/>
      <w:r w:rsidR="003912ED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civilizaţ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iei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occidentale.</w:t>
      </w:r>
    </w:p>
    <w:p w:rsidR="00A55E5B" w:rsidRPr="00803EA8" w:rsidRDefault="00A55E5B" w:rsidP="00321C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Astăzi Itali</w:t>
      </w:r>
      <w:r w:rsidR="001505ED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 este o republică democratică </w:t>
      </w:r>
      <w:proofErr w:type="spellStart"/>
      <w:r w:rsidR="001505ED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="001505ED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 </w:t>
      </w:r>
      <w:proofErr w:type="spellStart"/>
      <w:r w:rsidR="001505ED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ţară</w:t>
      </w:r>
      <w:proofErr w:type="spellEnd"/>
      <w:r w:rsidR="001505ED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dezvoltată, ocupând a </w:t>
      </w:r>
      <w:proofErr w:type="spellStart"/>
      <w:r w:rsidR="001505ED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8C78B0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aptea</w:t>
      </w:r>
      <w:proofErr w:type="spellEnd"/>
      <w:r w:rsidR="008C78B0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C78B0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poziţ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ie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conform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D234B4">
        <w:rPr>
          <w:rFonts w:ascii="Times New Roman" w:hAnsi="Times New Roman" w:cs="Times New Roman"/>
          <w:sz w:val="24"/>
          <w:szCs w:val="24"/>
          <w:lang w:val="ro-RO"/>
        </w:rPr>
        <w:t>PIB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-ului, a opta conform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406431" w:rsidRPr="00D234B4">
        <w:rPr>
          <w:rFonts w:ascii="Times New Roman" w:hAnsi="Times New Roman" w:cs="Times New Roman"/>
          <w:sz w:val="24"/>
          <w:szCs w:val="24"/>
          <w:lang w:val="ro-RO"/>
        </w:rPr>
        <w:t xml:space="preserve">indicelui </w:t>
      </w:r>
      <w:proofErr w:type="spellStart"/>
      <w:r w:rsidR="00406431" w:rsidRPr="00D234B4">
        <w:rPr>
          <w:rFonts w:ascii="Times New Roman" w:hAnsi="Times New Roman" w:cs="Times New Roman"/>
          <w:sz w:val="24"/>
          <w:szCs w:val="24"/>
          <w:lang w:val="ro-RO"/>
        </w:rPr>
        <w:t>calităţii</w:t>
      </w:r>
      <w:proofErr w:type="spellEnd"/>
      <w:r w:rsidR="00406431" w:rsidRPr="00D234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06431" w:rsidRPr="00D234B4">
        <w:rPr>
          <w:rFonts w:ascii="Times New Roman" w:hAnsi="Times New Roman" w:cs="Times New Roman"/>
          <w:sz w:val="24"/>
          <w:szCs w:val="24"/>
          <w:lang w:val="ro-RO"/>
        </w:rPr>
        <w:t>vieţ</w:t>
      </w:r>
      <w:r w:rsidR="00315779" w:rsidRPr="00D234B4">
        <w:rPr>
          <w:rFonts w:ascii="Times New Roman" w:hAnsi="Times New Roman" w:cs="Times New Roman"/>
          <w:sz w:val="24"/>
          <w:szCs w:val="24"/>
          <w:lang w:val="ro-RO"/>
        </w:rPr>
        <w:t>ii</w:t>
      </w:r>
      <w:proofErr w:type="spellEnd"/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proofErr w:type="spellStart"/>
      <w:r w:rsidR="00406431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douăzecea conform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hyperlink r:id="rId19" w:tooltip="Indicele dezvoltării umane" w:history="1">
        <w:r w:rsidR="00315779" w:rsidRPr="00803EA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o-RO"/>
          </w:rPr>
          <w:t>indicelui dezvoltării umane</w:t>
        </w:r>
      </w:hyperlink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Este membru fondator al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D234B4">
        <w:rPr>
          <w:rFonts w:ascii="Times New Roman" w:hAnsi="Times New Roman" w:cs="Times New Roman"/>
          <w:sz w:val="24"/>
          <w:szCs w:val="24"/>
          <w:lang w:val="ro-RO"/>
        </w:rPr>
        <w:t>Uniunii Europene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5F7944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E445C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proofErr w:type="spellEnd"/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unul dintre membri ai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D234B4">
        <w:rPr>
          <w:rFonts w:ascii="Times New Roman" w:hAnsi="Times New Roman" w:cs="Times New Roman"/>
          <w:sz w:val="24"/>
          <w:szCs w:val="24"/>
          <w:lang w:val="ro-RO"/>
        </w:rPr>
        <w:t>G8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D234B4" w:rsidRPr="00D234B4">
        <w:rPr>
          <w:rFonts w:ascii="Times New Roman" w:hAnsi="Times New Roman" w:cs="Times New Roman"/>
          <w:sz w:val="24"/>
          <w:szCs w:val="24"/>
          <w:lang w:val="ro-RO"/>
        </w:rPr>
        <w:t>NATO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D234B4">
        <w:rPr>
          <w:rFonts w:ascii="Times New Roman" w:hAnsi="Times New Roman" w:cs="Times New Roman"/>
          <w:sz w:val="24"/>
          <w:szCs w:val="24"/>
          <w:lang w:val="ro-RO"/>
        </w:rPr>
        <w:t>Consiliului Europei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315779" w:rsidRPr="00803EA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 </w:t>
      </w:r>
      <w:r w:rsidR="00315779" w:rsidRPr="00D8737F">
        <w:rPr>
          <w:rFonts w:ascii="Times New Roman" w:hAnsi="Times New Roman" w:cs="Times New Roman"/>
          <w:sz w:val="24"/>
          <w:szCs w:val="24"/>
          <w:lang w:val="ro-RO"/>
        </w:rPr>
        <w:t>Uniunii Europei Occidentale</w:t>
      </w:r>
      <w:r w:rsidR="00315779" w:rsidRPr="00803EA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A55E5B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ro-RO"/>
        </w:rPr>
        <w:tab/>
      </w:r>
      <w:proofErr w:type="spellStart"/>
      <w:r w:rsidR="00315779" w:rsidRPr="00803E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ro-RO"/>
        </w:rPr>
        <w:t>Împărţirea</w:t>
      </w:r>
      <w:proofErr w:type="spellEnd"/>
      <w:r w:rsidR="00315779" w:rsidRPr="00803E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ro-RO"/>
        </w:rPr>
        <w:t xml:space="preserve"> administrativă:</w:t>
      </w:r>
    </w:p>
    <w:p w:rsidR="00315779" w:rsidRPr="00803EA8" w:rsidRDefault="00A55E5B" w:rsidP="00321C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ro-RO"/>
        </w:rPr>
      </w:pPr>
      <w:r w:rsidRPr="00803EA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15779" w:rsidRPr="00803EA8">
        <w:rPr>
          <w:rFonts w:ascii="Times New Roman" w:eastAsia="Times New Roman" w:hAnsi="Times New Roman" w:cs="Times New Roman"/>
          <w:sz w:val="24"/>
          <w:szCs w:val="24"/>
          <w:lang w:val="ro-RO"/>
        </w:rPr>
        <w:t>Italia este divizată în 20 de regiuni, dintre care cinci se bucură de o stare autonomă specială, marcată de *: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3268"/>
      </w:tblGrid>
      <w:tr w:rsidR="00315779" w:rsidRPr="00803EA8" w:rsidTr="0031577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Abruzzo</w:t>
            </w:r>
            <w:proofErr w:type="spellEnd"/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Basilicata</w:t>
            </w:r>
            <w:proofErr w:type="spellEnd"/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Calabria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Campania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Emilia-</w:t>
            </w: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Romagna</w:t>
            </w:r>
            <w:proofErr w:type="spellEnd"/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Friuli-Venezia</w:t>
            </w:r>
            <w:proofErr w:type="spellEnd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Giulia *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Lazio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Liguria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Lombardia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Marche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Molise</w:t>
            </w:r>
            <w:proofErr w:type="spellEnd"/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Piemont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Puglia</w:t>
            </w:r>
            <w:proofErr w:type="spellEnd"/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Sardinia *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Sicilia *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Toscana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Trentino-Tirolul</w:t>
            </w:r>
            <w:proofErr w:type="spellEnd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Sud *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Umbria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Valle</w:t>
            </w:r>
            <w:proofErr w:type="spellEnd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d'Aosta</w:t>
            </w:r>
            <w:proofErr w:type="spellEnd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*</w:t>
            </w:r>
          </w:p>
          <w:p w:rsidR="00315779" w:rsidRPr="00803EA8" w:rsidRDefault="00315779" w:rsidP="00321C7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03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Veneto</w:t>
            </w:r>
            <w:proofErr w:type="spellEnd"/>
          </w:p>
        </w:tc>
      </w:tr>
    </w:tbl>
    <w:p w:rsidR="00315779" w:rsidRPr="00803EA8" w:rsidRDefault="00C375E4" w:rsidP="00321C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ab/>
      </w:r>
      <w:r w:rsidR="00315779" w:rsidRPr="00803EA8">
        <w:rPr>
          <w:rFonts w:ascii="Times New Roman" w:eastAsia="Times New Roman" w:hAnsi="Times New Roman" w:cs="Times New Roman"/>
          <w:sz w:val="24"/>
          <w:szCs w:val="24"/>
          <w:lang w:val="ro-RO"/>
        </w:rPr>
        <w:t>O regiune se subdivizează în </w:t>
      </w:r>
      <w:hyperlink r:id="rId20" w:tooltip="Provinciile Italiei" w:history="1">
        <w:r w:rsidR="00315779" w:rsidRPr="00803EA8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provincii</w:t>
        </w:r>
      </w:hyperlink>
      <w:r w:rsidR="00935CAD" w:rsidRPr="00803EA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315779" w:rsidRPr="00803EA8">
        <w:rPr>
          <w:rFonts w:ascii="Times New Roman" w:eastAsia="Times New Roman" w:hAnsi="Times New Roman" w:cs="Times New Roman"/>
          <w:sz w:val="24"/>
          <w:szCs w:val="24"/>
          <w:lang w:val="ro-RO"/>
        </w:rPr>
        <w:t> iar provinciile la rândul lor în </w:t>
      </w:r>
      <w:hyperlink r:id="rId21" w:tooltip="Comune — pagină inexistentă" w:history="1">
        <w:r w:rsidR="00315779" w:rsidRPr="00803EA8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comune</w:t>
        </w:r>
      </w:hyperlink>
      <w:r w:rsidR="00315779" w:rsidRPr="00803EA8">
        <w:rPr>
          <w:rFonts w:ascii="Times New Roman" w:eastAsia="Times New Roman" w:hAnsi="Times New Roman" w:cs="Times New Roman"/>
          <w:sz w:val="24"/>
          <w:szCs w:val="24"/>
          <w:lang w:val="ro-RO"/>
        </w:rPr>
        <w:t>. Centrele comunale fiind de regulă </w:t>
      </w:r>
      <w:hyperlink r:id="rId22" w:tooltip="Localitate" w:history="1">
        <w:r w:rsidR="00315779" w:rsidRPr="00803EA8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localitățile</w:t>
        </w:r>
      </w:hyperlink>
      <w:r w:rsidR="00315779" w:rsidRPr="00803EA8">
        <w:rPr>
          <w:rFonts w:ascii="Times New Roman" w:eastAsia="Times New Roman" w:hAnsi="Times New Roman" w:cs="Times New Roman"/>
          <w:sz w:val="24"/>
          <w:szCs w:val="24"/>
          <w:lang w:val="ro-RO"/>
        </w:rPr>
        <w:t> cu același nume (numele </w:t>
      </w:r>
      <w:hyperlink r:id="rId23" w:tooltip="Comunei — pagină inexistentă" w:history="1">
        <w:r w:rsidR="00315779" w:rsidRPr="00803EA8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>comunei</w:t>
        </w:r>
      </w:hyperlink>
      <w:r w:rsidR="00315779" w:rsidRPr="00803EA8">
        <w:rPr>
          <w:rFonts w:ascii="Times New Roman" w:eastAsia="Times New Roman" w:hAnsi="Times New Roman" w:cs="Times New Roman"/>
          <w:sz w:val="24"/>
          <w:szCs w:val="24"/>
          <w:lang w:val="ro-RO"/>
        </w:rPr>
        <w:t> respective).</w:t>
      </w:r>
    </w:p>
    <w:p w:rsidR="00321C7A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ro-RO"/>
        </w:rPr>
      </w:pPr>
      <w:r w:rsidRPr="00803E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ro-RO"/>
        </w:rPr>
        <w:tab/>
      </w:r>
      <w:proofErr w:type="spellStart"/>
      <w:r w:rsidR="00555655" w:rsidRPr="00803E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ro-RO"/>
        </w:rPr>
        <w:t>Administraţia</w:t>
      </w:r>
      <w:proofErr w:type="spellEnd"/>
      <w:r w:rsidR="00555655" w:rsidRPr="00803E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ro-RO"/>
        </w:rPr>
        <w:t xml:space="preserve"> publică</w:t>
      </w:r>
    </w:p>
    <w:p w:rsidR="0040771F" w:rsidRPr="00803EA8" w:rsidRDefault="00321C7A" w:rsidP="00321C7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ro-RO"/>
        </w:rPr>
      </w:pPr>
      <w:r w:rsidRPr="00803EA8">
        <w:rPr>
          <w:b/>
          <w:color w:val="000000" w:themeColor="text1"/>
          <w:shd w:val="clear" w:color="auto" w:fill="F9F9F9"/>
          <w:lang w:val="ro-RO"/>
        </w:rPr>
        <w:tab/>
      </w:r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Italia este structurată teritorial în  20 de regiuni (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regioni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), 103 provincii (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province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) 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 8.100 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municipalităţi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 (comuni). În cadrul 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municipalităţilor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, 14 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oraşe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 au alocat un statut special 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 anume statutul 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constituţional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 de zone metropolitane (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città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 metropolitane).Autoguvernarea sub-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naţională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 este exercitată de 20 de regiuni (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regioni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) la nivel regional 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 de către 8.100 </w:t>
      </w:r>
      <w:proofErr w:type="spellStart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>municipalităţi</w:t>
      </w:r>
      <w:proofErr w:type="spellEnd"/>
      <w:r w:rsidR="0040771F"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 xml:space="preserve"> (comuni) la nivel local. </w:t>
      </w:r>
    </w:p>
    <w:p w:rsidR="001C7959" w:rsidRPr="00803EA8" w:rsidRDefault="00A55E5B" w:rsidP="00321C7A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</w:pPr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ab/>
      </w:r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Autoritatea în stat este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deţinută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exercitată de Guvern, primul-ministru fiind numit de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Preşedinte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. De asemenea,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şeful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statului îi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numeşte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miniştri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la propunerea premierului.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Preşedintele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are la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dispoziţie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o paletă largă de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posibilităţi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de desemnare a Primului-ministru în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funcţie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de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configuraţia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politică a Guvernului.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Miniştrii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</w:t>
      </w:r>
      <w:r w:rsidR="00F76847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pot fi </w:t>
      </w:r>
      <w:proofErr w:type="spellStart"/>
      <w:r w:rsidR="00F76847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recrutaţi</w:t>
      </w:r>
      <w:proofErr w:type="spellEnd"/>
      <w:r w:rsidR="00F76847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fie din cadrul </w:t>
      </w:r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Parlamentului, fie din afara acestuia. Statisticile guvernamentale indică însă practica de recrutare a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miniştrilor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din rândul membrilor Parlamentului,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miniştrii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non-parlamentari fiind prin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excelenţă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specialişti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cu înaltă calificare, militari. Primul-ministru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direcţionează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politica generală a Guvernului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îşi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asumă răspunderea pentru aplicarea acesteia Conform art. 114 din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Constituţie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se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întâlneşte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un sistem de organizare administrativă pe trei nivele – comunal, provincial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regional dispunând de o bogată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legislaţie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recentă în materia autonomiei locale. El este, în mare parte, de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inspiraţie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franceză, fiind un regim uniform la nivelul întregii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ţări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. </w:t>
      </w:r>
    </w:p>
    <w:p w:rsidR="00321C7A" w:rsidRPr="00803EA8" w:rsidRDefault="00F76847" w:rsidP="00321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ab/>
      </w:r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Pe lângă </w:t>
      </w:r>
      <w:proofErr w:type="spellStart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>autorităţile</w:t>
      </w:r>
      <w:proofErr w:type="spellEnd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locale, sistemul de </w:t>
      </w:r>
      <w:proofErr w:type="spellStart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>administraţie</w:t>
      </w:r>
      <w:proofErr w:type="spellEnd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descentralizat cuprinde </w:t>
      </w:r>
      <w:proofErr w:type="spellStart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serviciile publice, care au statut de persoane morale, corpuri cu </w:t>
      </w:r>
      <w:proofErr w:type="spellStart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>independenţă</w:t>
      </w:r>
      <w:proofErr w:type="spellEnd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ju</w:t>
      </w:r>
      <w:r w:rsidR="00321C7A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ridică, constituite sub dreptul public </w:t>
      </w:r>
      <w:proofErr w:type="spellStart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1C7959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cu diferite grade de putere de autoguvernare.</w:t>
      </w:r>
      <w:r w:rsidR="00321C7A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21C7A" w:rsidRPr="00803EA8" w:rsidRDefault="00321C7A" w:rsidP="00321C7A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</w:pPr>
      <w:r w:rsidRPr="00803EA8">
        <w:rPr>
          <w:lang w:val="ro-RO"/>
        </w:rPr>
        <w:tab/>
      </w:r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Comunele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regiunile sunt cele mai importante componente ale regimului administrativ local. În structura fiecărei comune se disting trei categorii de organe: consiliu</w:t>
      </w:r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l, junta (“</w:t>
      </w:r>
      <w:proofErr w:type="spellStart"/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giunta</w:t>
      </w:r>
      <w:proofErr w:type="spellEnd"/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”) </w:t>
      </w:r>
      <w:proofErr w:type="spellStart"/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primarul (“</w:t>
      </w:r>
      <w:proofErr w:type="spellStart"/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sindaco</w:t>
      </w:r>
      <w:proofErr w:type="spellEnd"/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”).</w:t>
      </w:r>
    </w:p>
    <w:p w:rsidR="00C375E4" w:rsidRPr="00803EA8" w:rsidRDefault="00321C7A" w:rsidP="00321C7A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</w:pPr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ab/>
      </w:r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Consiliul comunal este adunarea deliberantă, fiind ales pentru un mandat de câte 4 ani, asemănător sistemului administrativ francez. Numărul consilierilor variază de la 15 membri (pentru comunele având mai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puţin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de 3.000 locuitori) la 80 membri (pentru comunele cu peste 500.000 locuitori). Consiliul se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reuneşte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cel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puţin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de două ori pe an, iar în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situaţii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mai deosebite, la cererea unui anumit număr de consilieri, el poate avea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întruniri cu caracter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excepţional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. Consiliul exercită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funcţia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legislativă la nivelul comunei, însă legile pe care le adoptă trebuie să se încadreze în contextul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naţional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. Comunele au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obligaţia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să respecte anumite principii administrative, iar obiectivele lor să nu contravină interesului general. Totodată,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operaţiunile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pe care le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finanţează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nu trebuie să aducă prejudicii grave bugetului. Consiliul comunal aprobă bugetul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exercită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funcţia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de control asupra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acti</w:t>
      </w:r>
      <w:r w:rsidR="00C375E4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vităţii</w:t>
      </w:r>
      <w:proofErr w:type="spellEnd"/>
      <w:r w:rsidR="00C375E4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primarului </w:t>
      </w:r>
      <w:proofErr w:type="spellStart"/>
      <w:r w:rsidR="00C375E4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C375E4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a juntei.</w:t>
      </w:r>
    </w:p>
    <w:p w:rsidR="00C375E4" w:rsidRPr="00803EA8" w:rsidRDefault="00C375E4" w:rsidP="00321C7A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</w:pPr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ab/>
      </w:r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Junta este un organ colegial, iar numărul membrilor săi variază în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funcţie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de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importanţa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comunei. Junta nu se află în subordinea Consiliului comunal, ci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acţionează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sub conducerea primarului. Fiecare membru al acesteia este responsabil pentru unul sau mai multe servicii comunale. În plus, Consiliul poate delega o parte din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competenţele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proprii, în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atribuţiile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juntei. Junta exercită anumite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funcţii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care, în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Franţa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, sunt îndeplinite de către primar; el fiind cel care conduce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administraţia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comunală,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pregăteşte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legile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bug</w:t>
      </w:r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etul comunei.</w:t>
      </w:r>
    </w:p>
    <w:p w:rsidR="00C375E4" w:rsidRPr="00803EA8" w:rsidRDefault="00C375E4" w:rsidP="00321C7A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</w:pPr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ab/>
      </w:r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În Italia, primarul este “autoritatea supremă” a comunei, însă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atribuţiile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sale sunt mai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puţin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numeroase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extinse. El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îndeplineşte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, înainte de toate,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funcţii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protocolare, fiind reprezentantul comunei în anumite împrejurări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având drept de semnătură asupra documentelor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contractelor î</w:t>
      </w:r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ncheiate cu </w:t>
      </w:r>
      <w:proofErr w:type="spellStart"/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diferiţi</w:t>
      </w:r>
      <w:proofErr w:type="spellEnd"/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parteneri.</w:t>
      </w:r>
    </w:p>
    <w:p w:rsidR="00C375E4" w:rsidRPr="00803EA8" w:rsidRDefault="00C375E4" w:rsidP="00321C7A">
      <w:pPr>
        <w:spacing w:after="0" w:line="360" w:lineRule="auto"/>
        <w:jc w:val="both"/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</w:pPr>
      <w:r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ab/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Repartiţia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puterii între juntă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primar,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ţine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mai mult de personalitatea oamenilor, de factorii locali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de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importanţa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comunei, decât de textul legii. Astfel, în comunele mici, primarul este autoritatea publică principală, spre deosebire de comunele mari, în care Consiliul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junta sunt organele administrative de bază, iar rolul primarului este unul secundar.</w:t>
      </w:r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br/>
      </w:r>
      <w:r w:rsidR="00F76847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ab/>
      </w:r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Provincia constituie în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acelaşi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timp, o formă intermediară de colectivitate descentralizată, dar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şi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o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circumscripţie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administrativă-cadru, de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acţiune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a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administraţiei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centrale. Acest al doilea rol este mult mai important decât primul. Provinciile pot fi divizate în arondismente, în mod asemănător cu </w:t>
      </w:r>
      <w:proofErr w:type="spellStart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împărţirea</w:t>
      </w:r>
      <w:proofErr w:type="spellEnd"/>
      <w:r w:rsidR="001C7959" w:rsidRPr="00803EA8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 xml:space="preserve"> departamentelor franceze, tot în arondismente.</w:t>
      </w:r>
    </w:p>
    <w:p w:rsidR="00D8737F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Style w:val="Emphasis"/>
          <w:rFonts w:ascii="Times New Roman" w:eastAsia="Calibri" w:hAnsi="Times New Roman" w:cs="Times New Roman"/>
          <w:i w:val="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RO"/>
        </w:rPr>
        <w:t xml:space="preserve">Autoritatea </w:t>
      </w:r>
      <w:proofErr w:type="spellStart"/>
      <w:r w:rsidR="003E44BE" w:rsidRPr="00803EA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RO"/>
        </w:rPr>
        <w:t>legislativă</w:t>
      </w:r>
      <w:proofErr w:type="spellEnd"/>
    </w:p>
    <w:p w:rsidR="003F4DE9" w:rsidRPr="00D8737F" w:rsidRDefault="003E44BE" w:rsidP="00D8737F">
      <w:pPr>
        <w:spacing w:after="0" w:line="360" w:lineRule="auto"/>
        <w:ind w:firstLine="7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Iniţiativa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legislativă în Italia 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aparţine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:</w:t>
      </w: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Guvernului;</w:t>
      </w:r>
      <w:r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F76847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Camerei 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Deputaţilor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;</w:t>
      </w:r>
      <w:r w:rsidR="00F76847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Senatului;</w:t>
      </w:r>
      <w:r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F76847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Adunărilor Regionale;</w:t>
      </w:r>
      <w:r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Consiliului 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Naţional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pentru Economie 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Probleme de Muncă;</w:t>
      </w:r>
      <w:r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cetăţenilor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dacă această 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dorinţă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este exprimată în scris 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este 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susţinută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cel 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puţin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50000 de </w:t>
      </w:r>
      <w:proofErr w:type="spellStart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votanţi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  <w:r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F76847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Parlamentul este bicameral, Camera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Deputaţilor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Senatul Republicii. Ambele camere au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aceeaşi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autoritate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funcţii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identice: fiecare lege trebuie să fie aprobată de ambele camere, ceea ce în Italia se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numeşte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"bicameralism perfect". Membrii ambelor camere sunt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aleşi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pentru cinci ani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pot fi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eliberaţi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din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funcţii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înainte de expirarea mandatului dacă nu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reuşesc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să formeze majoritatea guvernului.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Camera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Deputaţilor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îşi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desfăşoară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activitatea în Palazzo di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Montecitorio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este compusă din 630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deputaţi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aleşi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prin vot direct universal. Numărul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deputaţilor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este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proporţional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cu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populaţia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, iar vârsta lor trebuie să fie peste 25 de ani.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Senatul Republicii se află în Palazzo Madame,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este format din 315 senatori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aleşi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plus senatorii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aleşi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viaţă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( primul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al Republicii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cinci senatori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numiţi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Republicii). Senatorii sunt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aleşi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la nivelul regiunilor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trebuie să aibă ca vârstă mai mult de 40 ani.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br/>
      </w:r>
      <w:r w:rsidR="00F76847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Desfăşurarea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activităţii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în cadrul Camerelor este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susţinută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implicarea directă a comisiilor parlamentare diferite ca număr de la o cameră la alta. Camera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Deputaţilor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are 14 comisii permanente, fiecare cu aproximativ 45 de membri. Acestea sunt structurate în subcomisii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subcomisii ad-hoc. Senatul are 12 comisii, fiecare cu câte 30 de membri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structuraţi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 subcomisii, subgrupuri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grupuri de lucru.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Comisiile Parlamentare au autoritate în a dezbate actele normative primite de la Guvern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a analiza propunerile legislative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formulte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către cealaltă cameră. Aceste propuneri urmează a se dezbate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aproba în plen. Frecvent comisiile sunt împuternicite să exercite direct putere legislativă. De asemenea comisiile parlamentare sunt implicate în exercitarea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funcţiei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control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chiar derularea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investigaţii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în legătură cu activitatea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desfăşurată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Guvern.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br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Camerele pot constitui comisii bicamerale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comisii de interpelare, care colaborează cu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instituţiile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juridice pentru a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obţine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informaţii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Consiliul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Naţional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pentru Economie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Probleme de Muncă este format din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reprezentanţi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din industrie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forţă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muncă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numiţi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Republicii. Acesta are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funcţie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consultare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investigare în domeniul muncii, angajării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forţei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muncă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economiei.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Influenţa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 care o exercită este relativ redusă.</w:t>
      </w:r>
    </w:p>
    <w:p w:rsidR="009B59D5" w:rsidRPr="00803EA8" w:rsidRDefault="00C375E4" w:rsidP="00321C7A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RO"/>
        </w:rPr>
        <w:t>Autoritatea executivă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9B59D5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C375E4" w:rsidRPr="00803EA8" w:rsidRDefault="00F76847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Autoritatea executivă se exercită prin Consiliul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numit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Republicii.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Opţiunea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Preşedintelui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pentru Consiliul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este formulată după un proces de consultare a partidelor politice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desfăşurat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sub conducerea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Preşedintelui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Cele mai importante componente ale Biroului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Preşedintelui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Consiliului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sunt: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br/>
      </w:r>
      <w:r w:rsidR="00F76847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</w:t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Subsecretarul Biroului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Preşedintelui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Consiliului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Miniştrii</w:t>
      </w:r>
      <w:proofErr w:type="spellEnd"/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este principalul </w:t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colaborator al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Preşedintelui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Secretarul Consiliului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;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- Departamentele, câteva cu sarcini de coordonare, altele responsabile pentru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activităţi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desfăşurate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în sectoare specifice. Câteva ministere sunt conduse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fără portofoliu, echivalent cu un ministru de stat. Acestea sunt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ataşate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Biroului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Preşedintelui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Consiliului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obicei coordonează activitatea dintre diferite sectoare.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- Secretariatul General care coordonează activitatea diferitelor ministere.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br/>
      </w:r>
      <w:r w:rsidR="00F76847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Biroul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Preşedintelui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Consiliul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include: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</w:t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Consiliul de Cabinet, un compartiment responsabil pentru formularea propunerilor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soluţionare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 problemelor politice presante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pentru monitorizarea implementării programelor guvernului. Acest Consiliu este format dintr-un număr limitat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reprezentând toate partidele reunite în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cualiţie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-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Conferinţa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Permanentă a Regiunilor Statului, este un compartiment care coordonează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acţiunile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guvernului central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ale guvernelor regionale.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C375E4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- Consiliul Superior al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Administraţiei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Publice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Scoala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Superioară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Administraţie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Publică (organizată după modelul francez al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Ec</w:t>
      </w:r>
      <w:r w:rsidR="009B59D5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ole</w:t>
      </w:r>
      <w:proofErr w:type="spellEnd"/>
      <w:r w:rsidR="009B59D5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9B59D5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Nationale</w:t>
      </w:r>
      <w:proofErr w:type="spellEnd"/>
      <w:r w:rsidR="009B59D5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9B59D5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d'asministration</w:t>
      </w:r>
      <w:proofErr w:type="spellEnd"/>
      <w:r w:rsidR="009B59D5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-</w:t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ENA), ambele sunt administrate de Ministerul pentru Servicii Civile.</w:t>
      </w:r>
      <w:r w:rsidR="003E44BE" w:rsidRPr="00803E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 </w:t>
      </w:r>
    </w:p>
    <w:p w:rsidR="00A55E5B" w:rsidRPr="00803EA8" w:rsidRDefault="00C375E4" w:rsidP="00321C7A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Consiliul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este format din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toţi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guvernului cu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fără portofoliu. Pe baza unor legi nescrise,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sunt de obicei membri ai Parlamentului. Consiliul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este principala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instituţie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fundamentare a deciziilor, responsabilă pentru toate proiectele Guvernului care urmează a fi aprobate înainte de prezentarea în Parlament. Exercită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putere legislativă aprobând decrete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hotărâri în cadrul Consiliului. Membrii Consiliului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Miniştri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numesc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Şeful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Departamentului de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Administraţie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publică, directorii generali din ministere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intrevin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în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soluţionarea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situaţiilor</w:t>
      </w:r>
      <w:proofErr w:type="spellEnd"/>
      <w:r w:rsidR="003E44BE"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conflict dintre ministere.</w:t>
      </w:r>
    </w:p>
    <w:p w:rsidR="00A55E5B" w:rsidRPr="00803EA8" w:rsidRDefault="00A55E5B" w:rsidP="00321C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A55E5B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803EA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 w:rsidR="00BF6F6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Funcția publica î</w:t>
      </w:r>
      <w:r w:rsidR="00A55E5B" w:rsidRPr="00803EA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n Italia </w:t>
      </w:r>
    </w:p>
    <w:p w:rsidR="00C375E4" w:rsidRPr="00803EA8" w:rsidRDefault="00F76847" w:rsidP="00321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Style w:val="highlightselected"/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Style w:val="highlightselected"/>
          <w:rFonts w:ascii="Times New Roman" w:hAnsi="Times New Roman" w:cs="Times New Roman"/>
          <w:sz w:val="24"/>
          <w:szCs w:val="24"/>
          <w:lang w:val="ro-RO"/>
        </w:rPr>
        <w:t>Italia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 suprimat sistemul de clasament al nivelurilor de angajare anterior utilizat în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publică (A, B, C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D)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 introdus un nou sistem cu nouă niveluri de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competenţe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funcţionarilor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două niveluri de management superior.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trebuie să ia parte la un concurs pentru toate posturile superioare celui de-</w:t>
      </w:r>
      <w:r w:rsidR="00C375E4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al patrulea nivel. </w:t>
      </w:r>
    </w:p>
    <w:p w:rsidR="00A55E5B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Pentru nivelurile inferioare, examenul constă în două probe, una scrisă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una orală, care permit stabilirea unor liste de rezultate. Scopul principal este de a recruta cei mai buni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candidaţi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apoi de a păstra o listă de rezervă.</w:t>
      </w:r>
      <w:r w:rsidRPr="0080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Posturile de la un nivel superior care necesită un înalt nivel de pregătire pot uneori să fie atribuite doar printr-o evaluarea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capacităţilor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sau o combinare a acestor două metode de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selecţie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. Evaluarea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capacităţilor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constă în compararea calificativelor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obţinute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pe parcursul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şcolarizării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cerute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, eventual, în aprecierea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activităţii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depuse la locul de muncă anterior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experienţei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profesionale. In </w:t>
      </w:r>
      <w:r w:rsidR="00A55E5B" w:rsidRPr="00803EA8">
        <w:rPr>
          <w:rStyle w:val="highlightselected"/>
          <w:rFonts w:ascii="Times New Roman" w:hAnsi="Times New Roman" w:cs="Times New Roman"/>
          <w:sz w:val="24"/>
          <w:szCs w:val="24"/>
          <w:lang w:val="ro-RO"/>
        </w:rPr>
        <w:t>Italia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, perioadele anterioare de angajare sunt evaluate pe perioada procedurilor de 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valuare a </w:t>
      </w:r>
      <w:proofErr w:type="spellStart"/>
      <w:r w:rsidRPr="00803EA8">
        <w:rPr>
          <w:rFonts w:ascii="Times New Roman" w:hAnsi="Times New Roman" w:cs="Times New Roman"/>
          <w:sz w:val="24"/>
          <w:szCs w:val="24"/>
          <w:lang w:val="ro-RO"/>
        </w:rPr>
        <w:t>capacităţilor</w:t>
      </w:r>
      <w:proofErr w:type="spellEnd"/>
      <w:r w:rsidRPr="00803EA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55E5B" w:rsidRPr="00803EA8" w:rsidRDefault="00F76847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803EA8">
        <w:rPr>
          <w:rStyle w:val="highlightselected"/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Style w:val="highlightselected"/>
          <w:rFonts w:ascii="Times New Roman" w:hAnsi="Times New Roman" w:cs="Times New Roman"/>
          <w:sz w:val="24"/>
          <w:szCs w:val="24"/>
          <w:lang w:val="ro-RO"/>
        </w:rPr>
        <w:t>Italia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 elaborat o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soluţie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demnă de interes pentru reafectarea personalului ca urmare a</w:t>
      </w:r>
      <w:r w:rsidR="00F6706E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restructurării.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Funcţionarii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italieni au posibilitatea de a-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prezenta după bunul lor plac candidatura pentru posturile vacante din cadrul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funcţiei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publice</w:t>
      </w:r>
      <w:r w:rsidR="00F6706E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care sunt publicate pe o listă.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Aceşti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funcţionari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sunt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mutaţi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pe baza unei liste întocmite de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gazdă. În cazul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funcţionarilor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declaraţi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redundanţi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care nu au făcut cerere de schimb,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aceştia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sunt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reclasaţi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 către oficiu pe baza unei liste a posturilor rămase în ciuda </w:t>
      </w:r>
      <w:r w:rsidR="001B0D53" w:rsidRPr="00803EA8">
        <w:rPr>
          <w:rFonts w:ascii="Times New Roman" w:hAnsi="Times New Roman" w:cs="Times New Roman"/>
          <w:sz w:val="24"/>
          <w:szCs w:val="24"/>
          <w:lang w:val="ro-RO"/>
        </w:rPr>
        <w:t>mobilității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voluntare. </w:t>
      </w:r>
    </w:p>
    <w:p w:rsidR="00A55E5B" w:rsidRPr="00803EA8" w:rsidRDefault="00F76847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Italia a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prevăzut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in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Constituție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principiile generale de organizare a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administrației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publice, aplicabile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funcționarilor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publici</w:t>
      </w: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iar 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primul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statut al acestora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 fost adoptat la 22 noiembrie 1908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Pentru Italia sistemul carierei se combina cu cel focalizat pe structura postului. Numai concursurile pentru cele mai importante posturi se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organizează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centralizat de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către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Departamentul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funcției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publice subordonat Consiliului de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Miniștri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Dipartimento</w:t>
      </w:r>
      <w:proofErr w:type="spellEnd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della</w:t>
      </w:r>
      <w:proofErr w:type="spellEnd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funzione</w:t>
      </w:r>
      <w:proofErr w:type="spellEnd"/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pubblica</w:t>
      </w:r>
      <w:proofErr w:type="spellEnd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presso</w:t>
      </w:r>
      <w:proofErr w:type="spellEnd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la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Presidenzia</w:t>
      </w:r>
      <w:proofErr w:type="spellEnd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del</w:t>
      </w:r>
      <w:proofErr w:type="spellEnd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Consiglio</w:t>
      </w:r>
      <w:proofErr w:type="spellEnd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dei</w:t>
      </w:r>
      <w:proofErr w:type="spellEnd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proofErr w:type="spellStart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Ministri</w:t>
      </w:r>
      <w:proofErr w:type="spellEnd"/>
      <w:r w:rsidR="00A55E5B" w:rsidRPr="00803E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.</w:t>
      </w:r>
    </w:p>
    <w:p w:rsidR="00F76847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BF6F63" w:rsidRPr="00803EA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Italia,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funcționarii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publici pot fi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promovați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numai prin concurs. Concursul este organizat o dat</w:t>
      </w:r>
      <w:r w:rsidR="001B0D53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doi ani, iar pentru ocuparea unei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funcții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director,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candidații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trebuie sa promoveze un examen complex. Promovarea automata este posibila numai in cazul corpului diplomatic si al prefecturilor. 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AF4BA2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Candidații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ocuparea unei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funcții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publice pot avea o </w:t>
      </w:r>
      <w:r w:rsidR="001B0D53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experienț</w:t>
      </w:r>
      <w:r w:rsidR="001B0D53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profesional</w:t>
      </w:r>
      <w:r w:rsidR="001B0D53">
        <w:rPr>
          <w:rFonts w:ascii="Times New Roman" w:hAnsi="Times New Roman" w:cs="Times New Roman"/>
          <w:color w:val="000000"/>
          <w:sz w:val="24"/>
          <w:szCs w:val="24"/>
          <w:lang w:val="ro-RO"/>
        </w:rPr>
        <w:t>ă anterioară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1B0D5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1B0D53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A55E5B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>cadrul sectorului public sau</w:t>
      </w:r>
      <w:r w:rsidR="00F76847" w:rsidRPr="00803E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privat.</w:t>
      </w:r>
    </w:p>
    <w:p w:rsidR="00A55E5B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În Italia există o perioadă de instruire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o perioadă de stagiu, consecutive. Durata perioadei de probă variază în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 prevederile contractului individual, dar de regulă este de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şase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luni.</w:t>
      </w:r>
    </w:p>
    <w:p w:rsidR="00F76847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Pentru recrutarea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funcţionarilor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publici, în general, se utilizează trei metode. Pentru ocuparea posturilor sau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vacante se organizează concursuri de către o anumită autoritate la nivel central sau de către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instituţia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sau autoritatea publică unde e</w:t>
      </w:r>
      <w:r w:rsidR="00F76847" w:rsidRPr="00803EA8">
        <w:rPr>
          <w:rFonts w:ascii="Times New Roman" w:hAnsi="Times New Roman" w:cs="Times New Roman"/>
          <w:sz w:val="24"/>
          <w:szCs w:val="24"/>
          <w:lang w:val="ro-RO"/>
        </w:rPr>
        <w:t>xistă locurile vacante.</w:t>
      </w:r>
      <w:r w:rsidR="00F76847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76847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76847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În Italia transferurile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funcţionarilor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publici între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autorităţile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publice sau în cadrul acestora, pe o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acelaşi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nivel, sunt cel mai des întâlnite.</w:t>
      </w:r>
      <w:r w:rsidR="00BF6F63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A55E5B" w:rsidRPr="00803EA8">
        <w:rPr>
          <w:rStyle w:val="highlightselected"/>
          <w:rFonts w:ascii="Times New Roman" w:hAnsi="Times New Roman" w:cs="Times New Roman"/>
          <w:sz w:val="24"/>
          <w:szCs w:val="24"/>
          <w:lang w:val="ro-RO"/>
        </w:rPr>
        <w:t>Italia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autoritatea care realizează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selecţia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este diferită de autoritatea care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pronunţă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numirea. 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6F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6F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6F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6F63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76847" w:rsidRPr="00803EA8" w:rsidRDefault="00C375E4" w:rsidP="00321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În Italia, în 1993, a fost adoptată o reglementare privind privatizarea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funcţiei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publice, reglementare al cărei scop a fost acela de a reglementa raporturile de muncă ale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funcţionarului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public, în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concordanţă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cu respectarea regimului autonomiei locale a regiunilor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provinciilor, dar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cu principiile dreptului comunitar. Astfel, reglementarea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îşi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propunea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raţionalizarea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costului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activităţii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publice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introducerea disciplinei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activităţii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publice în sectorul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activităţilor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cu caracter privat.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55E5B" w:rsidRPr="00803EA8" w:rsidRDefault="00321C7A" w:rsidP="00321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A55E5B" w:rsidRPr="00803EA8">
        <w:rPr>
          <w:rStyle w:val="highlightselected"/>
          <w:rFonts w:ascii="Times New Roman" w:hAnsi="Times New Roman" w:cs="Times New Roman"/>
          <w:sz w:val="24"/>
          <w:szCs w:val="24"/>
          <w:lang w:val="ro-RO"/>
        </w:rPr>
        <w:t>Italia</w:t>
      </w:r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, dreptul la grevă este recunoscut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funcţionarilor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, chiar dacă anumite corpuri (precum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poliţiştii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) sau </w:t>
      </w:r>
      <w:proofErr w:type="spellStart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>funcţii</w:t>
      </w:r>
      <w:proofErr w:type="spellEnd"/>
      <w:r w:rsidR="00A55E5B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sunt excluse de la exercitarea acestui drept.</w:t>
      </w:r>
    </w:p>
    <w:p w:rsidR="00A55E5B" w:rsidRPr="00803EA8" w:rsidRDefault="00A55E5B" w:rsidP="00321C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C6646" w:rsidRPr="00AE1D8B" w:rsidRDefault="004C6646" w:rsidP="00AE1D8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AE1D8B">
        <w:rPr>
          <w:rFonts w:ascii="Times New Roman" w:hAnsi="Times New Roman" w:cs="Times New Roman"/>
          <w:b/>
          <w:sz w:val="24"/>
          <w:szCs w:val="28"/>
          <w:lang w:val="ro-RO"/>
        </w:rPr>
        <w:t>Metode de recrutare</w:t>
      </w:r>
    </w:p>
    <w:p w:rsidR="004C6646" w:rsidRPr="00803EA8" w:rsidRDefault="004C6646" w:rsidP="006120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Italia a suprimat sistemul de clasament al nivelurilor de angajare anterior </w:t>
      </w:r>
      <w:r w:rsidR="00612040" w:rsidRPr="00803EA8">
        <w:rPr>
          <w:rFonts w:ascii="Times New Roman" w:hAnsi="Times New Roman" w:cs="Times New Roman"/>
          <w:sz w:val="24"/>
          <w:szCs w:val="24"/>
          <w:lang w:val="ro-RO"/>
        </w:rPr>
        <w:t>utilizat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612040" w:rsidRPr="00803EA8">
        <w:rPr>
          <w:rFonts w:ascii="Times New Roman" w:hAnsi="Times New Roman" w:cs="Times New Roman"/>
          <w:sz w:val="24"/>
          <w:szCs w:val="24"/>
          <w:lang w:val="ro-RO"/>
        </w:rPr>
        <w:t>funcția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publica (A,B,C si D) si a introdus un nou sistem cu noua niveluri de competente ale </w:t>
      </w:r>
      <w:r w:rsidR="00612040" w:rsidRPr="00803EA8">
        <w:rPr>
          <w:rFonts w:ascii="Times New Roman" w:hAnsi="Times New Roman" w:cs="Times New Roman"/>
          <w:sz w:val="24"/>
          <w:szCs w:val="24"/>
          <w:lang w:val="ro-RO"/>
        </w:rPr>
        <w:t>funcționarilor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si doua niveluri de management superior.</w:t>
      </w:r>
    </w:p>
    <w:p w:rsidR="00612040" w:rsidRDefault="00612040" w:rsidP="006120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>Candidații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trebuie sa ia parte la un concurs pentru toate posturile superioare celui de-al patrulea nivel.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Italia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>exist</w:t>
      </w:r>
      <w:r>
        <w:rPr>
          <w:rFonts w:ascii="Times New Roman" w:hAnsi="Times New Roman" w:cs="Times New Roman"/>
          <w:sz w:val="24"/>
          <w:szCs w:val="24"/>
          <w:lang w:val="ro-RO"/>
        </w:rPr>
        <w:t>ă diverse tipuri de concurs:</w:t>
      </w:r>
    </w:p>
    <w:p w:rsidR="004C6646" w:rsidRPr="00803EA8" w:rsidRDefault="004C6646" w:rsidP="006120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>Pentru nivelurile inferioare,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examenul const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>ă 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n dou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probe,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una scris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i una oral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care permit stabilirea unor liste de rezultate ca 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612040" w:rsidRPr="00803EA8">
        <w:rPr>
          <w:rFonts w:ascii="Times New Roman" w:hAnsi="Times New Roman" w:cs="Times New Roman"/>
          <w:sz w:val="24"/>
          <w:szCs w:val="24"/>
          <w:lang w:val="ro-RO"/>
        </w:rPr>
        <w:t>Franța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Scopul principal este de a recruta cei mai buni </w:t>
      </w:r>
      <w:r w:rsidR="00612040" w:rsidRPr="00803EA8">
        <w:rPr>
          <w:rFonts w:ascii="Times New Roman" w:hAnsi="Times New Roman" w:cs="Times New Roman"/>
          <w:sz w:val="24"/>
          <w:szCs w:val="24"/>
          <w:lang w:val="ro-RO"/>
        </w:rPr>
        <w:t>candidați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si apoi de a </w:t>
      </w:r>
      <w:r w:rsidR="00612040" w:rsidRPr="00803EA8">
        <w:rPr>
          <w:rFonts w:ascii="Times New Roman" w:hAnsi="Times New Roman" w:cs="Times New Roman"/>
          <w:sz w:val="24"/>
          <w:szCs w:val="24"/>
          <w:lang w:val="ro-RO"/>
        </w:rPr>
        <w:t>păstra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o list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 rezerv</w:t>
      </w:r>
      <w:r w:rsidR="0061204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C6646" w:rsidRPr="00803EA8" w:rsidRDefault="004C6646" w:rsidP="006120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>Posturile de la un nivel superior care necesit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un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înalt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nivel de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pregătire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pot s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fie atribuite doar printr-o evaluare a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capacitaților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sau o combinare a acestor dou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metode de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selecție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Evaluarea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capacitaților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const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n compararea calificativelor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obținute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pe parcursul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școlarizării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cerute 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i eventual,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n aprecierea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activității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depuse la locul de munca anterior 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i a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experienței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profesionale.</w:t>
      </w:r>
    </w:p>
    <w:p w:rsidR="004C6646" w:rsidRPr="00803EA8" w:rsidRDefault="004C6646" w:rsidP="004E23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Pentru posturile care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încep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printr-o </w:t>
      </w:r>
      <w:r w:rsidR="004E2312" w:rsidRPr="00803EA8">
        <w:rPr>
          <w:rFonts w:ascii="Times New Roman" w:hAnsi="Times New Roman" w:cs="Times New Roman"/>
          <w:sz w:val="24"/>
          <w:szCs w:val="24"/>
          <w:lang w:val="ro-RO"/>
        </w:rPr>
        <w:t>pregătire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pedagogic</w:t>
      </w:r>
      <w:r w:rsidR="004E231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C1BEF">
        <w:rPr>
          <w:rFonts w:ascii="Times New Roman" w:hAnsi="Times New Roman" w:cs="Times New Roman"/>
          <w:sz w:val="24"/>
          <w:szCs w:val="24"/>
          <w:lang w:val="ro-RO"/>
        </w:rPr>
        <w:t xml:space="preserve"> cu un examen,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DC1BEF" w:rsidRPr="00803EA8">
        <w:rPr>
          <w:rFonts w:ascii="Times New Roman" w:hAnsi="Times New Roman" w:cs="Times New Roman"/>
          <w:sz w:val="24"/>
          <w:szCs w:val="24"/>
          <w:lang w:val="ro-RO"/>
        </w:rPr>
        <w:t>funcționarul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care este </w:t>
      </w:r>
      <w:r w:rsidR="00DC1BE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n cursul perioadei de prob</w:t>
      </w:r>
      <w:r w:rsidR="00DC1BE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C1B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exist</w:t>
      </w:r>
      <w:r w:rsidR="00DC1BE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un concurs special.</w:t>
      </w:r>
    </w:p>
    <w:p w:rsidR="004C6646" w:rsidRPr="00AE1D8B" w:rsidRDefault="004C6646" w:rsidP="00AE1D8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AE1D8B">
        <w:rPr>
          <w:rFonts w:ascii="Times New Roman" w:hAnsi="Times New Roman" w:cs="Times New Roman"/>
          <w:b/>
          <w:sz w:val="24"/>
          <w:szCs w:val="28"/>
          <w:lang w:val="ro-RO"/>
        </w:rPr>
        <w:t>Structura salarial</w:t>
      </w:r>
      <w:r w:rsidR="00DC1BEF">
        <w:rPr>
          <w:rFonts w:ascii="Times New Roman" w:hAnsi="Times New Roman" w:cs="Times New Roman"/>
          <w:b/>
          <w:sz w:val="24"/>
          <w:szCs w:val="28"/>
          <w:lang w:val="ro-RO"/>
        </w:rPr>
        <w:t>ă</w:t>
      </w:r>
    </w:p>
    <w:p w:rsidR="004C6646" w:rsidRPr="00803EA8" w:rsidRDefault="00DC1BEF" w:rsidP="00DC1B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>ultimii patru ani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reforma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n salarizarea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funcționarilor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publici a avut efecte.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angajații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actuali se aplic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legislația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din 1997 care face referire la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relațiile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sindicale,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>acorduri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colective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i privatizarea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relațiilor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 munc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cu sectorul administrativ.</w:t>
      </w:r>
    </w:p>
    <w:p w:rsidR="004C6646" w:rsidRPr="00803EA8" w:rsidRDefault="00DC1BEF" w:rsidP="00DC1B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ceea ce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privește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această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cercetare,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prima reglementare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dădea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mai mult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importan</w:t>
      </w:r>
      <w:r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autonomiei administrative,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prevăzând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influxul resurselor economice care pot fi folosite la nivel descentralizat.</w:t>
      </w:r>
    </w:p>
    <w:p w:rsidR="004C6646" w:rsidRPr="00803EA8" w:rsidRDefault="004C6646" w:rsidP="00F13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>Cea de-a doua reglementare extinde prevederile legale care se aplic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domeniului privat,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care deja se aplic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managerilor din prima 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i a doua linie.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Aceast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3E2D" w:rsidRPr="00803EA8">
        <w:rPr>
          <w:rFonts w:ascii="Times New Roman" w:hAnsi="Times New Roman" w:cs="Times New Roman"/>
          <w:sz w:val="24"/>
          <w:szCs w:val="24"/>
          <w:lang w:val="ro-RO"/>
        </w:rPr>
        <w:t>inovație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arat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plata salariilor se face pe baza acordurilor colective 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i orice </w:t>
      </w:r>
      <w:r w:rsidR="00F13E2D" w:rsidRPr="00803EA8">
        <w:rPr>
          <w:rFonts w:ascii="Times New Roman" w:hAnsi="Times New Roman" w:cs="Times New Roman"/>
          <w:sz w:val="24"/>
          <w:szCs w:val="24"/>
          <w:lang w:val="ro-RO"/>
        </w:rPr>
        <w:t>creștere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salarial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care se face altfel </w:t>
      </w:r>
      <w:r w:rsidR="00F13E2D" w:rsidRPr="00803EA8">
        <w:rPr>
          <w:rFonts w:ascii="Times New Roman" w:hAnsi="Times New Roman" w:cs="Times New Roman"/>
          <w:sz w:val="24"/>
          <w:szCs w:val="24"/>
          <w:lang w:val="ro-RO"/>
        </w:rPr>
        <w:t>decât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prin acord colectiv nu are efecte </w:t>
      </w:r>
      <w:r w:rsidR="00F13E2D" w:rsidRPr="00803EA8">
        <w:rPr>
          <w:rFonts w:ascii="Times New Roman" w:hAnsi="Times New Roman" w:cs="Times New Roman"/>
          <w:sz w:val="24"/>
          <w:szCs w:val="24"/>
          <w:lang w:val="ro-RO"/>
        </w:rPr>
        <w:t>decât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 xml:space="preserve"> în momentul 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n care noul contract intra </w:t>
      </w:r>
      <w:r w:rsidR="00F13E2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n vigoare.</w:t>
      </w:r>
    </w:p>
    <w:p w:rsidR="004C6646" w:rsidRPr="00803EA8" w:rsidRDefault="00F13E2D" w:rsidP="00F13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Factorii care intra î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n joc pentru a fixa nivelul salarial depind de locul </w:t>
      </w:r>
      <w:r w:rsidRPr="00F13E2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>care persoana se afl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3E2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momentul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intrării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13E2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administrație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>iar dac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se refer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angajații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fără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funcții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 con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>ducere,de</w:t>
      </w:r>
      <w:proofErr w:type="spellEnd"/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gradul pe care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>l are angajatul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așa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cum se specifica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4C6646" w:rsidRPr="00803EA8">
        <w:rPr>
          <w:rFonts w:ascii="Times New Roman" w:hAnsi="Times New Roman" w:cs="Times New Roman"/>
          <w:sz w:val="24"/>
          <w:szCs w:val="24"/>
          <w:lang w:val="ro-RO"/>
        </w:rPr>
        <w:t>acordul colectiv.</w:t>
      </w:r>
    </w:p>
    <w:p w:rsidR="004C6646" w:rsidRPr="00803EA8" w:rsidRDefault="004C6646" w:rsidP="00F13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>Noua clasificare are trei benzi: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A,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B 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i C pentru 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>funcționari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pentru care sunt </w:t>
      </w:r>
      <w:r w:rsidR="007E6A73" w:rsidRPr="00803EA8">
        <w:rPr>
          <w:rFonts w:ascii="Times New Roman" w:hAnsi="Times New Roman" w:cs="Times New Roman"/>
          <w:sz w:val="24"/>
          <w:szCs w:val="24"/>
          <w:lang w:val="ro-RO"/>
        </w:rPr>
        <w:t>prevăzute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nivel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>uri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diferite de salarizare.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Acordurile colective au </w:t>
      </w:r>
      <w:r w:rsidR="007E6A73" w:rsidRPr="00803EA8">
        <w:rPr>
          <w:rFonts w:ascii="Times New Roman" w:hAnsi="Times New Roman" w:cs="Times New Roman"/>
          <w:sz w:val="24"/>
          <w:szCs w:val="24"/>
          <w:lang w:val="ro-RO"/>
        </w:rPr>
        <w:t>prevăzut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un sistem dublu de </w:t>
      </w:r>
      <w:r w:rsidR="007E6A73" w:rsidRPr="00803EA8">
        <w:rPr>
          <w:rFonts w:ascii="Times New Roman" w:hAnsi="Times New Roman" w:cs="Times New Roman"/>
          <w:sz w:val="24"/>
          <w:szCs w:val="24"/>
          <w:lang w:val="ro-RO"/>
        </w:rPr>
        <w:t>evoluție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intern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vertical pe band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>și orizontal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n cadrul benzilor.</w:t>
      </w:r>
    </w:p>
    <w:p w:rsidR="004C6646" w:rsidRPr="00803EA8" w:rsidRDefault="004C6646" w:rsidP="00F13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>Promovarea de pe o band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pe alta se face prin proces selectiv 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i trebuie s</w:t>
      </w:r>
      <w:r w:rsidR="007E6A7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respecte </w:t>
      </w:r>
      <w:r w:rsidR="007512FA">
        <w:rPr>
          <w:rFonts w:ascii="Times New Roman" w:hAnsi="Times New Roman" w:cs="Times New Roman"/>
          <w:sz w:val="24"/>
          <w:szCs w:val="24"/>
          <w:lang w:val="ro-RO"/>
        </w:rPr>
        <w:t>condițiile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7512FA">
        <w:rPr>
          <w:rFonts w:ascii="Times New Roman" w:hAnsi="Times New Roman" w:cs="Times New Roman"/>
          <w:sz w:val="24"/>
          <w:szCs w:val="24"/>
          <w:lang w:val="ro-RO"/>
        </w:rPr>
        <w:t xml:space="preserve">ocupare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a acel</w:t>
      </w:r>
      <w:r w:rsidR="007512FA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 xml:space="preserve"> post </w:t>
      </w:r>
      <w:r w:rsidR="007512FA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i din cadrul extern,</w:t>
      </w:r>
      <w:r w:rsidR="007512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conform decretului nr.165</w:t>
      </w:r>
      <w:r w:rsidR="007512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3EA8">
        <w:rPr>
          <w:rFonts w:ascii="Times New Roman" w:hAnsi="Times New Roman" w:cs="Times New Roman"/>
          <w:sz w:val="24"/>
          <w:szCs w:val="24"/>
          <w:lang w:val="ro-RO"/>
        </w:rPr>
        <w:t>din 2001.</w:t>
      </w:r>
    </w:p>
    <w:p w:rsidR="004C6646" w:rsidRPr="00803EA8" w:rsidRDefault="004C6646" w:rsidP="004C664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64CC" w:rsidRPr="00803EA8" w:rsidRDefault="005264CC" w:rsidP="005264C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03EA8">
        <w:rPr>
          <w:rFonts w:ascii="Times New Roman" w:hAnsi="Times New Roman" w:cs="Times New Roman"/>
          <w:sz w:val="24"/>
          <w:szCs w:val="24"/>
          <w:lang w:val="ro-RO"/>
        </w:rPr>
        <w:t>Bibliografie</w:t>
      </w:r>
    </w:p>
    <w:p w:rsidR="005264CC" w:rsidRPr="00803EA8" w:rsidRDefault="005264CC" w:rsidP="005264C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264CC" w:rsidRPr="007512FA" w:rsidRDefault="007512FA" w:rsidP="007512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o-RO"/>
        </w:rPr>
      </w:pPr>
      <w:hyperlink r:id="rId24" w:history="1">
        <w:r w:rsidRPr="007512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www.ramp.ase.ro</w:t>
        </w:r>
      </w:hyperlink>
      <w:r w:rsidR="005264CC" w:rsidRPr="007512F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264CC" w:rsidRPr="007512FA" w:rsidRDefault="007512FA" w:rsidP="007512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o-RO"/>
        </w:rPr>
      </w:pPr>
      <w:hyperlink r:id="rId25" w:history="1">
        <w:r w:rsidRPr="007512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www.apubb.ro</w:t>
        </w:r>
      </w:hyperlink>
      <w:r w:rsidR="005264CC" w:rsidRPr="007512F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264CC" w:rsidRPr="007512FA" w:rsidRDefault="007512FA" w:rsidP="007512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o-RO"/>
        </w:rPr>
      </w:pPr>
      <w:hyperlink r:id="rId26" w:history="1">
        <w:r w:rsidRPr="007512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www.wikipedia.org</w:t>
        </w:r>
      </w:hyperlink>
      <w:r w:rsidR="005264CC" w:rsidRPr="007512F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C6646" w:rsidRPr="007512FA" w:rsidRDefault="007512FA" w:rsidP="007512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o-RO"/>
        </w:rPr>
      </w:pPr>
      <w:hyperlink r:id="rId27" w:history="1">
        <w:r w:rsidRPr="007512FA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www.eupan.eu</w:t>
        </w:r>
      </w:hyperlink>
      <w:r w:rsidR="005264CC" w:rsidRPr="007512F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512FA" w:rsidRPr="007512FA" w:rsidRDefault="007512FA" w:rsidP="007512FA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sectPr w:rsidR="007512FA" w:rsidRPr="007512FA" w:rsidSect="00441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21C5"/>
    <w:multiLevelType w:val="hybridMultilevel"/>
    <w:tmpl w:val="929E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4749"/>
    <w:multiLevelType w:val="hybridMultilevel"/>
    <w:tmpl w:val="02362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427B"/>
    <w:multiLevelType w:val="hybridMultilevel"/>
    <w:tmpl w:val="54B66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63520"/>
    <w:multiLevelType w:val="multilevel"/>
    <w:tmpl w:val="A828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CC621F"/>
    <w:multiLevelType w:val="hybridMultilevel"/>
    <w:tmpl w:val="FC10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953BC"/>
    <w:multiLevelType w:val="multilevel"/>
    <w:tmpl w:val="14D4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6A"/>
    <w:rsid w:val="0000706C"/>
    <w:rsid w:val="00007764"/>
    <w:rsid w:val="000135FF"/>
    <w:rsid w:val="00042C71"/>
    <w:rsid w:val="00050BFD"/>
    <w:rsid w:val="00085BE0"/>
    <w:rsid w:val="0009031A"/>
    <w:rsid w:val="000E4A36"/>
    <w:rsid w:val="00105EFE"/>
    <w:rsid w:val="001244A7"/>
    <w:rsid w:val="001270AD"/>
    <w:rsid w:val="00141343"/>
    <w:rsid w:val="001505ED"/>
    <w:rsid w:val="0016696E"/>
    <w:rsid w:val="00167341"/>
    <w:rsid w:val="00187DB2"/>
    <w:rsid w:val="00196D30"/>
    <w:rsid w:val="001A4F43"/>
    <w:rsid w:val="001B07E3"/>
    <w:rsid w:val="001B0D53"/>
    <w:rsid w:val="001B3197"/>
    <w:rsid w:val="001C64EF"/>
    <w:rsid w:val="001C7959"/>
    <w:rsid w:val="001F0AC0"/>
    <w:rsid w:val="001F62B4"/>
    <w:rsid w:val="00203305"/>
    <w:rsid w:val="00206384"/>
    <w:rsid w:val="00214E01"/>
    <w:rsid w:val="00222B44"/>
    <w:rsid w:val="0022325E"/>
    <w:rsid w:val="00246782"/>
    <w:rsid w:val="00267662"/>
    <w:rsid w:val="002728FA"/>
    <w:rsid w:val="00284A79"/>
    <w:rsid w:val="00294392"/>
    <w:rsid w:val="00294F9E"/>
    <w:rsid w:val="002E19D7"/>
    <w:rsid w:val="00300C7B"/>
    <w:rsid w:val="00315779"/>
    <w:rsid w:val="003207E1"/>
    <w:rsid w:val="00321C7A"/>
    <w:rsid w:val="0033277E"/>
    <w:rsid w:val="0034486B"/>
    <w:rsid w:val="003912ED"/>
    <w:rsid w:val="003B42A6"/>
    <w:rsid w:val="003E44BE"/>
    <w:rsid w:val="003E558D"/>
    <w:rsid w:val="003F4DE9"/>
    <w:rsid w:val="00404E24"/>
    <w:rsid w:val="00406431"/>
    <w:rsid w:val="0040771F"/>
    <w:rsid w:val="004107F2"/>
    <w:rsid w:val="00427024"/>
    <w:rsid w:val="004412F2"/>
    <w:rsid w:val="00452E13"/>
    <w:rsid w:val="004672C3"/>
    <w:rsid w:val="004C3F21"/>
    <w:rsid w:val="004C6646"/>
    <w:rsid w:val="004D3C73"/>
    <w:rsid w:val="004D514A"/>
    <w:rsid w:val="004D7885"/>
    <w:rsid w:val="004E2312"/>
    <w:rsid w:val="004F58AD"/>
    <w:rsid w:val="004F745E"/>
    <w:rsid w:val="004F7881"/>
    <w:rsid w:val="005166E7"/>
    <w:rsid w:val="005264CC"/>
    <w:rsid w:val="005275A5"/>
    <w:rsid w:val="005469AB"/>
    <w:rsid w:val="00555655"/>
    <w:rsid w:val="0057335E"/>
    <w:rsid w:val="00573816"/>
    <w:rsid w:val="005C153D"/>
    <w:rsid w:val="005C5D9D"/>
    <w:rsid w:val="005E102A"/>
    <w:rsid w:val="005F44D7"/>
    <w:rsid w:val="005F5BFA"/>
    <w:rsid w:val="005F7944"/>
    <w:rsid w:val="00612040"/>
    <w:rsid w:val="00614C45"/>
    <w:rsid w:val="006222D2"/>
    <w:rsid w:val="00624D80"/>
    <w:rsid w:val="0064516A"/>
    <w:rsid w:val="00692184"/>
    <w:rsid w:val="006A2B92"/>
    <w:rsid w:val="006B7BD5"/>
    <w:rsid w:val="006D4C9D"/>
    <w:rsid w:val="006E0379"/>
    <w:rsid w:val="006E1621"/>
    <w:rsid w:val="007103F8"/>
    <w:rsid w:val="00720C58"/>
    <w:rsid w:val="0072763A"/>
    <w:rsid w:val="007512FA"/>
    <w:rsid w:val="00754B22"/>
    <w:rsid w:val="00760207"/>
    <w:rsid w:val="0076020B"/>
    <w:rsid w:val="00770D50"/>
    <w:rsid w:val="007728D3"/>
    <w:rsid w:val="007729C3"/>
    <w:rsid w:val="0077779E"/>
    <w:rsid w:val="00791D6A"/>
    <w:rsid w:val="007A1E3E"/>
    <w:rsid w:val="007A66C1"/>
    <w:rsid w:val="007D2B5C"/>
    <w:rsid w:val="007E1A51"/>
    <w:rsid w:val="007E6A73"/>
    <w:rsid w:val="007E7B7F"/>
    <w:rsid w:val="007F1B45"/>
    <w:rsid w:val="00803EA8"/>
    <w:rsid w:val="00805095"/>
    <w:rsid w:val="00814D69"/>
    <w:rsid w:val="00827A72"/>
    <w:rsid w:val="00882044"/>
    <w:rsid w:val="0088294C"/>
    <w:rsid w:val="008859E8"/>
    <w:rsid w:val="008A489B"/>
    <w:rsid w:val="008C0048"/>
    <w:rsid w:val="008C196E"/>
    <w:rsid w:val="008C78B0"/>
    <w:rsid w:val="008E7DC6"/>
    <w:rsid w:val="00900DC4"/>
    <w:rsid w:val="00913525"/>
    <w:rsid w:val="00915ED5"/>
    <w:rsid w:val="009162D4"/>
    <w:rsid w:val="00921B0A"/>
    <w:rsid w:val="00930ABD"/>
    <w:rsid w:val="009350B5"/>
    <w:rsid w:val="00935CAD"/>
    <w:rsid w:val="00947A91"/>
    <w:rsid w:val="009A1D10"/>
    <w:rsid w:val="009A5A64"/>
    <w:rsid w:val="009B2368"/>
    <w:rsid w:val="009B41F0"/>
    <w:rsid w:val="009B59D5"/>
    <w:rsid w:val="009B7205"/>
    <w:rsid w:val="00A1095C"/>
    <w:rsid w:val="00A55E5B"/>
    <w:rsid w:val="00A872B8"/>
    <w:rsid w:val="00AA223B"/>
    <w:rsid w:val="00AB2278"/>
    <w:rsid w:val="00AB4B1B"/>
    <w:rsid w:val="00AB62B0"/>
    <w:rsid w:val="00AC17E2"/>
    <w:rsid w:val="00AC3E18"/>
    <w:rsid w:val="00AC7B6C"/>
    <w:rsid w:val="00AD79A6"/>
    <w:rsid w:val="00AE0CA8"/>
    <w:rsid w:val="00AE1D8B"/>
    <w:rsid w:val="00AF3A84"/>
    <w:rsid w:val="00AF48C6"/>
    <w:rsid w:val="00AF4BA2"/>
    <w:rsid w:val="00B108D6"/>
    <w:rsid w:val="00B24B45"/>
    <w:rsid w:val="00B26EF0"/>
    <w:rsid w:val="00B40728"/>
    <w:rsid w:val="00B52649"/>
    <w:rsid w:val="00B6294D"/>
    <w:rsid w:val="00B71F6E"/>
    <w:rsid w:val="00BC51A4"/>
    <w:rsid w:val="00BE5F25"/>
    <w:rsid w:val="00BE7296"/>
    <w:rsid w:val="00BF2C6E"/>
    <w:rsid w:val="00BF6F63"/>
    <w:rsid w:val="00BF7CD3"/>
    <w:rsid w:val="00C019B4"/>
    <w:rsid w:val="00C22389"/>
    <w:rsid w:val="00C245FA"/>
    <w:rsid w:val="00C25A84"/>
    <w:rsid w:val="00C375E4"/>
    <w:rsid w:val="00C6280D"/>
    <w:rsid w:val="00C662E3"/>
    <w:rsid w:val="00C74D0F"/>
    <w:rsid w:val="00C81878"/>
    <w:rsid w:val="00CC3752"/>
    <w:rsid w:val="00CE445C"/>
    <w:rsid w:val="00CF5DF7"/>
    <w:rsid w:val="00CF79DC"/>
    <w:rsid w:val="00D07CCC"/>
    <w:rsid w:val="00D15C83"/>
    <w:rsid w:val="00D234B4"/>
    <w:rsid w:val="00D3049C"/>
    <w:rsid w:val="00D5208B"/>
    <w:rsid w:val="00D65781"/>
    <w:rsid w:val="00D67202"/>
    <w:rsid w:val="00D710B3"/>
    <w:rsid w:val="00D8737F"/>
    <w:rsid w:val="00D90309"/>
    <w:rsid w:val="00D97365"/>
    <w:rsid w:val="00DC1BEF"/>
    <w:rsid w:val="00DC3249"/>
    <w:rsid w:val="00DD4FE9"/>
    <w:rsid w:val="00DD6134"/>
    <w:rsid w:val="00E01C76"/>
    <w:rsid w:val="00E16581"/>
    <w:rsid w:val="00E35554"/>
    <w:rsid w:val="00E412D7"/>
    <w:rsid w:val="00E604D5"/>
    <w:rsid w:val="00E854B8"/>
    <w:rsid w:val="00E8614B"/>
    <w:rsid w:val="00E900EF"/>
    <w:rsid w:val="00E93462"/>
    <w:rsid w:val="00EA468D"/>
    <w:rsid w:val="00EB7660"/>
    <w:rsid w:val="00EE7C62"/>
    <w:rsid w:val="00F01A4F"/>
    <w:rsid w:val="00F0345B"/>
    <w:rsid w:val="00F040BF"/>
    <w:rsid w:val="00F13E2D"/>
    <w:rsid w:val="00F14417"/>
    <w:rsid w:val="00F53833"/>
    <w:rsid w:val="00F56124"/>
    <w:rsid w:val="00F6706E"/>
    <w:rsid w:val="00F76847"/>
    <w:rsid w:val="00F853B0"/>
    <w:rsid w:val="00FA778C"/>
    <w:rsid w:val="00FB544F"/>
    <w:rsid w:val="00FC136C"/>
    <w:rsid w:val="00FC2318"/>
    <w:rsid w:val="00FD3CDD"/>
    <w:rsid w:val="00FE1E8E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4190F3-1A3B-4070-8E31-19D2D88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7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15779"/>
  </w:style>
  <w:style w:type="character" w:styleId="Emphasis">
    <w:name w:val="Emphasis"/>
    <w:basedOn w:val="DefaultParagraphFont"/>
    <w:qFormat/>
    <w:rsid w:val="00321C7A"/>
    <w:rPr>
      <w:i/>
      <w:iCs/>
    </w:rPr>
  </w:style>
  <w:style w:type="character" w:customStyle="1" w:styleId="highlightselected">
    <w:name w:val="highlight selected"/>
    <w:basedOn w:val="DefaultParagraphFont"/>
    <w:rsid w:val="00A55E5B"/>
  </w:style>
  <w:style w:type="paragraph" w:styleId="ListParagraph">
    <w:name w:val="List Paragraph"/>
    <w:basedOn w:val="Normal"/>
    <w:uiPriority w:val="34"/>
    <w:qFormat/>
    <w:rsid w:val="0032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.wikipedia.org/wiki/Europa" TargetMode="External"/><Relationship Id="rId13" Type="http://schemas.openxmlformats.org/officeDocument/2006/relationships/hyperlink" Target="http://ro.wikipedia.org/wiki/Austria" TargetMode="External"/><Relationship Id="rId18" Type="http://schemas.openxmlformats.org/officeDocument/2006/relationships/hyperlink" Target="http://ro.wikipedia.org/wiki/Romani" TargetMode="External"/><Relationship Id="rId26" Type="http://schemas.openxmlformats.org/officeDocument/2006/relationships/hyperlink" Target="http://www.wikipedia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o.wikipedia.org/w/index.php?title=Comune&amp;action=edit&amp;redlink=1" TargetMode="External"/><Relationship Id="rId7" Type="http://schemas.openxmlformats.org/officeDocument/2006/relationships/hyperlink" Target="http://ro.wikipedia.org/wiki/List%C4%83_de_state_suverane" TargetMode="External"/><Relationship Id="rId12" Type="http://schemas.openxmlformats.org/officeDocument/2006/relationships/hyperlink" Target="http://ro.wikipedia.org/wiki/Sardinia" TargetMode="External"/><Relationship Id="rId17" Type="http://schemas.openxmlformats.org/officeDocument/2006/relationships/hyperlink" Target="http://ro.wikipedia.org/wiki/Etrusci" TargetMode="External"/><Relationship Id="rId25" Type="http://schemas.openxmlformats.org/officeDocument/2006/relationships/hyperlink" Target="http://www.apubb.ro" TargetMode="External"/><Relationship Id="rId2" Type="http://schemas.openxmlformats.org/officeDocument/2006/relationships/styles" Target="styles.xml"/><Relationship Id="rId16" Type="http://schemas.openxmlformats.org/officeDocument/2006/relationships/hyperlink" Target="http://ro.wikipedia.org/wiki/Vatican" TargetMode="External"/><Relationship Id="rId20" Type="http://schemas.openxmlformats.org/officeDocument/2006/relationships/hyperlink" Target="http://ro.wikipedia.org/wiki/Provinciile_Italie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ro.wikipedia.org/wiki/Sicilia" TargetMode="External"/><Relationship Id="rId24" Type="http://schemas.openxmlformats.org/officeDocument/2006/relationships/hyperlink" Target="http://www.ramp.ase.r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ro.wikipedia.org/wiki/San_Marino" TargetMode="External"/><Relationship Id="rId23" Type="http://schemas.openxmlformats.org/officeDocument/2006/relationships/hyperlink" Target="http://ro.wikipedia.org/w/index.php?title=Comunei&amp;action=edit&amp;redlink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o.wikipedia.org/wiki/Marea_Mediteran%C4%83" TargetMode="External"/><Relationship Id="rId19" Type="http://schemas.openxmlformats.org/officeDocument/2006/relationships/hyperlink" Target="http://ro.wikipedia.org/wiki/Indicele_dezvolt%C4%83rii_uma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.wikipedia.org/wiki/Peninsula_Italic%C4%83" TargetMode="External"/><Relationship Id="rId14" Type="http://schemas.openxmlformats.org/officeDocument/2006/relationships/hyperlink" Target="http://ro.wikipedia.org/wiki/Slovenia" TargetMode="External"/><Relationship Id="rId22" Type="http://schemas.openxmlformats.org/officeDocument/2006/relationships/hyperlink" Target="http://ro.wikipedia.org/wiki/Localitate" TargetMode="External"/><Relationship Id="rId27" Type="http://schemas.openxmlformats.org/officeDocument/2006/relationships/hyperlink" Target="http://www.eupa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Cristina Constantinescu</cp:lastModifiedBy>
  <cp:revision>4</cp:revision>
  <dcterms:created xsi:type="dcterms:W3CDTF">2014-11-24T07:57:00Z</dcterms:created>
  <dcterms:modified xsi:type="dcterms:W3CDTF">2014-11-24T08:13:00Z</dcterms:modified>
</cp:coreProperties>
</file>