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1.xml" ContentType="application/vnd.openxmlformats-officedocument.drawingml.chart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57" w:rsidRDefault="00CC3657" w:rsidP="004C555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Informare privind stadiul derulării cursurilor</w:t>
      </w:r>
    </w:p>
    <w:p w:rsidR="009825C0" w:rsidRPr="00405683" w:rsidRDefault="00703670" w:rsidP="004C555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405683">
        <w:rPr>
          <w:rFonts w:ascii="Trebuchet MS" w:hAnsi="Trebuchet MS"/>
          <w:b/>
        </w:rPr>
        <w:t>01.07.2022</w:t>
      </w:r>
    </w:p>
    <w:p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9825C0" w:rsidRDefault="00280086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693833">
        <w:rPr>
          <w:rFonts w:ascii="Trebuchet MS" w:hAnsi="Trebuchet MS"/>
        </w:rPr>
        <w:t xml:space="preserve">Prin </w:t>
      </w:r>
      <w:r w:rsidR="00693833" w:rsidRPr="00693833">
        <w:rPr>
          <w:rFonts w:ascii="Trebuchet MS" w:hAnsi="Trebuchet MS"/>
        </w:rPr>
        <w:t xml:space="preserve">intermediul proiectului </w:t>
      </w:r>
      <w:r w:rsidR="00693833" w:rsidRPr="004C555A">
        <w:rPr>
          <w:rFonts w:ascii="Trebuchet MS" w:hAnsi="Trebuchet MS"/>
          <w:i/>
        </w:rPr>
        <w:t>„Transparență și competență în sectorul public”</w:t>
      </w:r>
      <w:r w:rsidR="00693833" w:rsidRPr="00693833">
        <w:rPr>
          <w:rFonts w:ascii="Trebuchet MS" w:hAnsi="Trebuchet MS"/>
        </w:rPr>
        <w:t>, MySMIS2014+ 140086, SIPOCA 870,</w:t>
      </w:r>
      <w:r w:rsidR="008A22C2">
        <w:rPr>
          <w:rFonts w:ascii="Trebuchet MS" w:hAnsi="Trebuchet MS"/>
        </w:rPr>
        <w:t xml:space="preserve"> desfășurat în cadrul ANFP,</w:t>
      </w:r>
      <w:r w:rsidR="00693833" w:rsidRPr="00693833">
        <w:rPr>
          <w:rFonts w:ascii="Trebuchet MS" w:hAnsi="Trebuchet MS"/>
        </w:rPr>
        <w:t xml:space="preserve"> sunt asigurate premisele pentru transformarea digitală și implicit pentru dezvoltarea competențelor în acest domeniu, care vor contribui la succesul măsurilor de eficientizare a serviciilor publice și </w:t>
      </w:r>
      <w:r w:rsidRPr="00280086">
        <w:rPr>
          <w:rFonts w:ascii="Trebuchet MS" w:hAnsi="Trebuchet MS"/>
        </w:rPr>
        <w:t>pentru dezvoltarea și implem</w:t>
      </w:r>
      <w:r w:rsidR="00FA2EC3">
        <w:rPr>
          <w:rFonts w:ascii="Trebuchet MS" w:hAnsi="Trebuchet MS"/>
        </w:rPr>
        <w:t xml:space="preserve">entarea de instrumente unitare </w:t>
      </w:r>
      <w:r w:rsidR="00FA2EC3">
        <w:rPr>
          <w:rFonts w:ascii="Trebuchet MS" w:hAnsi="Trebuchet MS"/>
          <w:lang w:val="en-US"/>
        </w:rPr>
        <w:t>ş</w:t>
      </w:r>
      <w:r w:rsidRPr="00280086">
        <w:rPr>
          <w:rFonts w:ascii="Trebuchet MS" w:hAnsi="Trebuchet MS"/>
        </w:rPr>
        <w:t>i moderne de management al resurselor umane</w:t>
      </w:r>
      <w:r>
        <w:rPr>
          <w:rFonts w:ascii="Trebuchet MS" w:hAnsi="Trebuchet MS"/>
        </w:rPr>
        <w:t>.</w:t>
      </w:r>
    </w:p>
    <w:p w:rsidR="002A47E5" w:rsidRDefault="002A47E5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2A47E5" w:rsidRDefault="002A47E5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val="en-US"/>
        </w:rPr>
        <w:drawing>
          <wp:inline distT="0" distB="0" distL="0" distR="0" wp14:anchorId="3DEB514C" wp14:editId="079A9FD0">
            <wp:extent cx="6480810" cy="2548255"/>
            <wp:effectExtent l="0" t="0" r="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47E5" w:rsidRDefault="002A47E5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2A47E5" w:rsidRDefault="002A47E5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600464" w:rsidRDefault="008A22C2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Activitatea 5. Formare este desfășurată în parteneriat cu </w:t>
      </w:r>
      <w:r w:rsidRPr="008A22C2">
        <w:rPr>
          <w:rFonts w:ascii="Trebuchet MS" w:hAnsi="Trebuchet MS"/>
        </w:rPr>
        <w:t>Universitatea Babe</w:t>
      </w:r>
      <w:r w:rsidR="00771AC9">
        <w:rPr>
          <w:rFonts w:ascii="Trebuchet MS" w:hAnsi="Trebuchet MS"/>
        </w:rPr>
        <w:t>ș</w:t>
      </w:r>
      <w:r w:rsidRPr="008A22C2">
        <w:rPr>
          <w:rFonts w:ascii="Trebuchet MS" w:hAnsi="Trebuchet MS"/>
        </w:rPr>
        <w:t xml:space="preserve"> - Bolyai Cluj Napoca</w:t>
      </w:r>
      <w:r>
        <w:rPr>
          <w:rFonts w:ascii="Trebuchet MS" w:hAnsi="Trebuchet MS"/>
        </w:rPr>
        <w:t xml:space="preserve">, aceasta fiind responsabilă cu Asigurarea </w:t>
      </w:r>
      <w:r w:rsidRPr="008A22C2">
        <w:rPr>
          <w:rFonts w:ascii="Trebuchet MS" w:hAnsi="Trebuchet MS"/>
        </w:rPr>
        <w:t>formării pen</w:t>
      </w:r>
      <w:r>
        <w:rPr>
          <w:rFonts w:ascii="Trebuchet MS" w:hAnsi="Trebuchet MS"/>
        </w:rPr>
        <w:t xml:space="preserve">tru personalul din instituțiile </w:t>
      </w:r>
      <w:r w:rsidRPr="008A22C2">
        <w:rPr>
          <w:rFonts w:ascii="Trebuchet MS" w:hAnsi="Trebuchet MS"/>
        </w:rPr>
        <w:t>publice în dom</w:t>
      </w:r>
      <w:r>
        <w:rPr>
          <w:rFonts w:ascii="Trebuchet MS" w:hAnsi="Trebuchet MS"/>
        </w:rPr>
        <w:t xml:space="preserve">eniul managementului resurselor </w:t>
      </w:r>
      <w:r w:rsidRPr="008A22C2">
        <w:rPr>
          <w:rFonts w:ascii="Trebuchet MS" w:hAnsi="Trebuchet MS"/>
        </w:rPr>
        <w:t>umane,</w:t>
      </w:r>
      <w:r>
        <w:rPr>
          <w:rFonts w:ascii="Trebuchet MS" w:hAnsi="Trebuchet MS"/>
        </w:rPr>
        <w:t xml:space="preserve"> al digitalizării și dobândirii </w:t>
      </w:r>
      <w:r w:rsidRPr="008A22C2">
        <w:rPr>
          <w:rFonts w:ascii="Trebuchet MS" w:hAnsi="Trebuchet MS"/>
        </w:rPr>
        <w:t>competențelor de formator</w:t>
      </w:r>
      <w:r>
        <w:rPr>
          <w:rFonts w:ascii="Trebuchet MS" w:hAnsi="Trebuchet MS"/>
        </w:rPr>
        <w:t>.</w:t>
      </w:r>
      <w:r w:rsidR="00597FB7">
        <w:rPr>
          <w:rFonts w:ascii="Trebuchet MS" w:hAnsi="Trebuchet MS"/>
        </w:rPr>
        <w:t xml:space="preserve"> </w:t>
      </w:r>
      <w:r w:rsidR="004C555A">
        <w:rPr>
          <w:rFonts w:ascii="Trebuchet MS" w:hAnsi="Trebuchet MS"/>
        </w:rPr>
        <w:t>Astfel, î</w:t>
      </w:r>
      <w:r w:rsidR="00280086">
        <w:rPr>
          <w:rFonts w:ascii="Trebuchet MS" w:hAnsi="Trebuchet MS"/>
        </w:rPr>
        <w:t>n perioada 16 mai – 30 iunie 2022</w:t>
      </w:r>
      <w:r w:rsidR="00FA2EC3">
        <w:rPr>
          <w:rFonts w:ascii="Trebuchet MS" w:hAnsi="Trebuchet MS"/>
        </w:rPr>
        <w:t>,</w:t>
      </w:r>
      <w:r w:rsidR="00280086">
        <w:rPr>
          <w:rFonts w:ascii="Trebuchet MS" w:hAnsi="Trebuchet MS"/>
        </w:rPr>
        <w:t xml:space="preserve"> </w:t>
      </w:r>
      <w:r w:rsidR="00FA2EC3">
        <w:rPr>
          <w:rFonts w:ascii="Trebuchet MS" w:hAnsi="Trebuchet MS"/>
        </w:rPr>
        <w:t xml:space="preserve">s-au înscris 986 de persoane, </w:t>
      </w:r>
      <w:r w:rsidR="009516B5">
        <w:rPr>
          <w:rFonts w:ascii="Trebuchet MS" w:hAnsi="Trebuchet MS"/>
        </w:rPr>
        <w:t xml:space="preserve">din care </w:t>
      </w:r>
      <w:r w:rsidR="00280086">
        <w:rPr>
          <w:rFonts w:ascii="Trebuchet MS" w:hAnsi="Trebuchet MS"/>
        </w:rPr>
        <w:t>a</w:t>
      </w:r>
      <w:r w:rsidR="00FA2EC3">
        <w:rPr>
          <w:rFonts w:ascii="Trebuchet MS" w:hAnsi="Trebuchet MS"/>
        </w:rPr>
        <w:t>u</w:t>
      </w:r>
      <w:r w:rsidR="00280086">
        <w:rPr>
          <w:rFonts w:ascii="Trebuchet MS" w:hAnsi="Trebuchet MS"/>
        </w:rPr>
        <w:t xml:space="preserve"> fost </w:t>
      </w:r>
      <w:r w:rsidR="00FA2EC3">
        <w:rPr>
          <w:rFonts w:ascii="Trebuchet MS" w:hAnsi="Trebuchet MS"/>
        </w:rPr>
        <w:t>instruiți</w:t>
      </w:r>
      <w:r w:rsidR="00280086">
        <w:rPr>
          <w:rFonts w:ascii="Trebuchet MS" w:hAnsi="Trebuchet MS"/>
        </w:rPr>
        <w:t xml:space="preserve"> 565 de </w:t>
      </w:r>
      <w:r w:rsidR="009516B5">
        <w:rPr>
          <w:rFonts w:ascii="Trebuchet MS" w:hAnsi="Trebuchet MS"/>
        </w:rPr>
        <w:t>funcționari publici</w:t>
      </w:r>
      <w:r w:rsidR="00280086">
        <w:rPr>
          <w:rFonts w:ascii="Trebuchet MS" w:hAnsi="Trebuchet MS"/>
        </w:rPr>
        <w:t xml:space="preserve"> din </w:t>
      </w:r>
      <w:r w:rsidR="00280086" w:rsidRPr="00280086">
        <w:rPr>
          <w:rFonts w:ascii="Trebuchet MS" w:hAnsi="Trebuchet MS"/>
        </w:rPr>
        <w:t>departamentele resurse umane și personal de conducere din cadrul autorităților și instituțiilor publice centrale și locale</w:t>
      </w:r>
      <w:r w:rsidR="00280086">
        <w:rPr>
          <w:rFonts w:ascii="Trebuchet MS" w:hAnsi="Trebuchet MS"/>
        </w:rPr>
        <w:t xml:space="preserve">, </w:t>
      </w:r>
      <w:r w:rsidR="00771AC9">
        <w:rPr>
          <w:rFonts w:ascii="Trebuchet MS" w:hAnsi="Trebuchet MS"/>
        </w:rPr>
        <w:t>după cum urmează</w:t>
      </w:r>
      <w:r w:rsidR="00600464">
        <w:rPr>
          <w:rFonts w:ascii="Trebuchet MS" w:hAnsi="Trebuchet MS"/>
        </w:rPr>
        <w:t>:</w:t>
      </w:r>
    </w:p>
    <w:p w:rsidR="00600464" w:rsidRDefault="00600464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703670" w:rsidRPr="00597FB7" w:rsidRDefault="00280086" w:rsidP="00597FB7">
      <w:pPr>
        <w:pStyle w:val="ListParagraph"/>
        <w:numPr>
          <w:ilvl w:val="0"/>
          <w:numId w:val="49"/>
        </w:num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597FB7">
        <w:rPr>
          <w:rFonts w:ascii="Trebuchet MS" w:hAnsi="Trebuchet MS"/>
          <w:b/>
        </w:rPr>
        <w:t>430</w:t>
      </w:r>
      <w:r w:rsidR="00566DAC" w:rsidRPr="00597FB7">
        <w:rPr>
          <w:rFonts w:ascii="Trebuchet MS" w:hAnsi="Trebuchet MS"/>
          <w:b/>
        </w:rPr>
        <w:t xml:space="preserve"> absolvenți </w:t>
      </w:r>
      <w:r w:rsidRPr="00597FB7">
        <w:rPr>
          <w:rFonts w:ascii="Trebuchet MS" w:hAnsi="Trebuchet MS"/>
          <w:b/>
        </w:rPr>
        <w:t xml:space="preserve">în domeniul digitalizării </w:t>
      </w:r>
    </w:p>
    <w:p w:rsidR="00405683" w:rsidRPr="00405683" w:rsidRDefault="00405683" w:rsidP="00597FB7">
      <w:pPr>
        <w:tabs>
          <w:tab w:val="center" w:pos="4536"/>
          <w:tab w:val="right" w:pos="9072"/>
        </w:tabs>
        <w:ind w:left="430"/>
        <w:jc w:val="both"/>
        <w:rPr>
          <w:rFonts w:ascii="Trebuchet MS" w:hAnsi="Trebuchet MS"/>
        </w:rPr>
      </w:pPr>
      <w:r w:rsidRPr="00405683">
        <w:rPr>
          <w:rFonts w:ascii="Trebuchet MS" w:hAnsi="Trebuchet MS"/>
        </w:rPr>
        <w:t>Tematica cursului cuprinde: informații generale, sistemul electronic național de eviden</w:t>
      </w:r>
      <w:r w:rsidR="00A04FAB">
        <w:rPr>
          <w:rFonts w:ascii="Trebuchet MS" w:hAnsi="Trebuchet MS"/>
        </w:rPr>
        <w:t>ță</w:t>
      </w:r>
      <w:r w:rsidRPr="00405683">
        <w:rPr>
          <w:rFonts w:ascii="Trebuchet MS" w:hAnsi="Trebuchet MS"/>
        </w:rPr>
        <w:t xml:space="preserve"> a ocupării in sectorul public – SENEOSP, recrutarea – managementul resurselor umane, platforma pilot concurs național, colectarea, validarea </w:t>
      </w:r>
      <w:r w:rsidR="00A04FAB">
        <w:rPr>
          <w:rFonts w:ascii="Trebuchet MS" w:hAnsi="Trebuchet MS"/>
        </w:rPr>
        <w:t>ș</w:t>
      </w:r>
      <w:r w:rsidRPr="00405683">
        <w:rPr>
          <w:rFonts w:ascii="Trebuchet MS" w:hAnsi="Trebuchet MS"/>
        </w:rPr>
        <w:t>i utilizarea datelor</w:t>
      </w:r>
      <w:r w:rsidR="00797CBE">
        <w:rPr>
          <w:rFonts w:ascii="Trebuchet MS" w:hAnsi="Trebuchet MS"/>
        </w:rPr>
        <w:t>.</w:t>
      </w:r>
    </w:p>
    <w:p w:rsidR="00600464" w:rsidRDefault="00600464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703670" w:rsidRDefault="00473F39" w:rsidP="00597FB7">
      <w:pPr>
        <w:tabs>
          <w:tab w:val="center" w:pos="4536"/>
          <w:tab w:val="right" w:pos="9072"/>
        </w:tabs>
        <w:jc w:val="center"/>
        <w:rPr>
          <w:rFonts w:ascii="Trebuchet MS" w:hAnsi="Trebuchet MS"/>
        </w:rPr>
      </w:pPr>
      <w:r>
        <w:rPr>
          <w:noProof/>
          <w:lang w:val="en-US"/>
        </w:rPr>
        <mc:AlternateContent>
          <mc:Choice Requires="cx1">
            <w:drawing>
              <wp:inline distT="0" distB="0" distL="0" distR="0" wp14:anchorId="72564C15" wp14:editId="73B1B28B">
                <wp:extent cx="5646420" cy="2518410"/>
                <wp:effectExtent l="0" t="0" r="11430" b="15240"/>
                <wp:docPr id="1" name="Char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8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9"/>
                  </a:graphicData>
                </a:graphic>
              </wp:inline>
            </w:drawing>
          </mc:Choice>
          <mc:Fallback>
            <w:drawing>
              <wp:inline distT="0" distB="0" distL="0" distR="0" wp14:anchorId="72564C15" wp14:editId="73B1B28B">
                <wp:extent cx="5646420" cy="2518410"/>
                <wp:effectExtent l="0" t="0" r="11430" b="15240"/>
                <wp:docPr id="1" name="Char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8000000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art 1">
                          <a:extLst>
                            <a:ext uri="{FF2B5EF4-FFF2-40B4-BE49-F238E27FC236}">
                              <a16:creationId xmlns:a16="http://schemas.microsoft.com/office/drawing/2014/main" id="{00000000-0008-0000-0100-000008000000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6420" cy="2518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703670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703670" w:rsidRDefault="00AB1F67" w:rsidP="001B0649">
      <w:pPr>
        <w:tabs>
          <w:tab w:val="center" w:pos="4536"/>
          <w:tab w:val="right" w:pos="9072"/>
        </w:tabs>
        <w:jc w:val="center"/>
        <w:rPr>
          <w:rFonts w:ascii="Trebuchet MS" w:hAnsi="Trebuchet MS"/>
        </w:rPr>
      </w:pPr>
      <w:r>
        <w:rPr>
          <w:noProof/>
          <w:lang w:val="en-US"/>
        </w:rPr>
        <w:lastRenderedPageBreak/>
        <w:drawing>
          <wp:inline distT="0" distB="0" distL="0" distR="0" wp14:anchorId="5DD0EB0D" wp14:editId="6460206A">
            <wp:extent cx="6096000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B1F67" w:rsidRDefault="00AB1F67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AB1F67" w:rsidRDefault="00AB1F67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600464" w:rsidRPr="001B0649" w:rsidRDefault="004C555A" w:rsidP="001B0649">
      <w:pPr>
        <w:pStyle w:val="ListParagraph"/>
        <w:numPr>
          <w:ilvl w:val="0"/>
          <w:numId w:val="49"/>
        </w:num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1B0649">
        <w:rPr>
          <w:rFonts w:ascii="Trebuchet MS" w:hAnsi="Trebuchet MS"/>
          <w:b/>
        </w:rPr>
        <w:t>1</w:t>
      </w:r>
      <w:r w:rsidR="00600464" w:rsidRPr="001B0649">
        <w:rPr>
          <w:rFonts w:ascii="Trebuchet MS" w:hAnsi="Trebuchet MS"/>
          <w:b/>
        </w:rPr>
        <w:t xml:space="preserve">35 </w:t>
      </w:r>
      <w:r w:rsidR="00566DAC" w:rsidRPr="001B0649">
        <w:rPr>
          <w:rFonts w:ascii="Trebuchet MS" w:hAnsi="Trebuchet MS"/>
          <w:b/>
        </w:rPr>
        <w:t xml:space="preserve">absolvenți </w:t>
      </w:r>
      <w:r w:rsidR="00600464" w:rsidRPr="001B0649">
        <w:rPr>
          <w:rFonts w:ascii="Trebuchet MS" w:hAnsi="Trebuchet MS"/>
          <w:b/>
        </w:rPr>
        <w:t>în domeniul management resurse umane</w:t>
      </w:r>
    </w:p>
    <w:p w:rsidR="00600464" w:rsidRDefault="00797CBE" w:rsidP="001B0649">
      <w:pPr>
        <w:tabs>
          <w:tab w:val="center" w:pos="4536"/>
          <w:tab w:val="right" w:pos="9072"/>
        </w:tabs>
        <w:ind w:left="430"/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1B0649">
        <w:rPr>
          <w:rFonts w:ascii="Trebuchet MS" w:hAnsi="Trebuchet MS"/>
        </w:rPr>
        <w:t xml:space="preserve">ematica cursului cuprinde: </w:t>
      </w:r>
      <w:r>
        <w:rPr>
          <w:rFonts w:ascii="Trebuchet MS" w:hAnsi="Trebuchet MS"/>
        </w:rPr>
        <w:t>p</w:t>
      </w:r>
      <w:r w:rsidRPr="00797CBE">
        <w:rPr>
          <w:rFonts w:ascii="Trebuchet MS" w:hAnsi="Trebuchet MS"/>
        </w:rPr>
        <w:t xml:space="preserve">lanificarea </w:t>
      </w:r>
      <w:r>
        <w:rPr>
          <w:rFonts w:ascii="Trebuchet MS" w:hAnsi="Trebuchet MS"/>
        </w:rPr>
        <w:t>ș</w:t>
      </w:r>
      <w:r w:rsidRPr="00797CBE">
        <w:rPr>
          <w:rFonts w:ascii="Trebuchet MS" w:hAnsi="Trebuchet MS"/>
        </w:rPr>
        <w:t>i recrutarea</w:t>
      </w:r>
      <w:r>
        <w:rPr>
          <w:rFonts w:ascii="Trebuchet MS" w:hAnsi="Trebuchet MS"/>
        </w:rPr>
        <w:t>, s</w:t>
      </w:r>
      <w:r w:rsidRPr="00797CBE">
        <w:rPr>
          <w:rFonts w:ascii="Trebuchet MS" w:hAnsi="Trebuchet MS"/>
        </w:rPr>
        <w:t>elecția</w:t>
      </w:r>
      <w:r w:rsidR="001B0649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m</w:t>
      </w:r>
      <w:r w:rsidRPr="00797CBE">
        <w:rPr>
          <w:rFonts w:ascii="Trebuchet MS" w:hAnsi="Trebuchet MS"/>
        </w:rPr>
        <w:t>anagementul performan</w:t>
      </w:r>
      <w:r>
        <w:rPr>
          <w:rFonts w:ascii="Trebuchet MS" w:hAnsi="Trebuchet MS"/>
        </w:rPr>
        <w:t>ț</w:t>
      </w:r>
      <w:r w:rsidRPr="00797CBE">
        <w:rPr>
          <w:rFonts w:ascii="Trebuchet MS" w:hAnsi="Trebuchet MS"/>
        </w:rPr>
        <w:t>ei</w:t>
      </w:r>
      <w:r>
        <w:rPr>
          <w:rFonts w:ascii="Trebuchet MS" w:hAnsi="Trebuchet MS"/>
        </w:rPr>
        <w:t>, m</w:t>
      </w:r>
      <w:r w:rsidRPr="00797CBE">
        <w:rPr>
          <w:rFonts w:ascii="Trebuchet MS" w:hAnsi="Trebuchet MS"/>
        </w:rPr>
        <w:t>otivarea</w:t>
      </w:r>
      <w:r>
        <w:rPr>
          <w:rFonts w:ascii="Trebuchet MS" w:hAnsi="Trebuchet MS"/>
        </w:rPr>
        <w:t>, m</w:t>
      </w:r>
      <w:r w:rsidRPr="00797CBE">
        <w:rPr>
          <w:rFonts w:ascii="Trebuchet MS" w:hAnsi="Trebuchet MS"/>
        </w:rPr>
        <w:t xml:space="preserve">anagementul carierei </w:t>
      </w:r>
      <w:r>
        <w:rPr>
          <w:rFonts w:ascii="Trebuchet MS" w:hAnsi="Trebuchet MS"/>
        </w:rPr>
        <w:t>ș</w:t>
      </w:r>
      <w:r w:rsidR="001B0649">
        <w:rPr>
          <w:rFonts w:ascii="Trebuchet MS" w:hAnsi="Trebuchet MS"/>
        </w:rPr>
        <w:t>i comunicarea î</w:t>
      </w:r>
      <w:r w:rsidRPr="00797CBE">
        <w:rPr>
          <w:rFonts w:ascii="Trebuchet MS" w:hAnsi="Trebuchet MS"/>
        </w:rPr>
        <w:t>n instituțiile din administrația</w:t>
      </w:r>
      <w:r>
        <w:rPr>
          <w:rFonts w:ascii="Trebuchet MS" w:hAnsi="Trebuchet MS"/>
        </w:rPr>
        <w:t xml:space="preserve"> publică.</w:t>
      </w:r>
    </w:p>
    <w:p w:rsidR="00703670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703670" w:rsidRDefault="00473F39" w:rsidP="001B0649">
      <w:pPr>
        <w:tabs>
          <w:tab w:val="center" w:pos="4536"/>
          <w:tab w:val="right" w:pos="9072"/>
        </w:tabs>
        <w:jc w:val="center"/>
        <w:rPr>
          <w:rFonts w:ascii="Trebuchet MS" w:hAnsi="Trebuchet MS"/>
        </w:rPr>
      </w:pPr>
      <w:r>
        <w:rPr>
          <w:noProof/>
          <w:lang w:val="en-US"/>
        </w:rPr>
        <mc:AlternateContent>
          <mc:Choice Requires="cx1">
            <w:drawing>
              <wp:inline distT="0" distB="0" distL="0" distR="0" wp14:anchorId="56B093A7" wp14:editId="4F1D4003">
                <wp:extent cx="6096000" cy="2236470"/>
                <wp:effectExtent l="0" t="0" r="0" b="11430"/>
                <wp:docPr id="4" name="Char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D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2"/>
                  </a:graphicData>
                </a:graphic>
              </wp:inline>
            </w:drawing>
          </mc:Choice>
          <mc:Fallback>
            <w:drawing>
              <wp:inline distT="0" distB="0" distL="0" distR="0" wp14:anchorId="56B093A7" wp14:editId="4F1D4003">
                <wp:extent cx="6096000" cy="2236470"/>
                <wp:effectExtent l="0" t="0" r="0" b="11430"/>
                <wp:docPr id="4" name="Char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D000000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hart 4">
                          <a:extLst>
                            <a:ext uri="{FF2B5EF4-FFF2-40B4-BE49-F238E27FC236}">
                              <a16:creationId xmlns:a16="http://schemas.microsoft.com/office/drawing/2014/main" id="{00000000-0008-0000-0100-00000D000000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2236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703670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703670" w:rsidRDefault="00566DAC" w:rsidP="00566DAC">
      <w:pPr>
        <w:tabs>
          <w:tab w:val="center" w:pos="4536"/>
          <w:tab w:val="right" w:pos="9072"/>
        </w:tabs>
        <w:jc w:val="center"/>
        <w:rPr>
          <w:rFonts w:ascii="Trebuchet MS" w:hAnsi="Trebuchet MS"/>
        </w:rPr>
      </w:pPr>
      <w:r>
        <w:rPr>
          <w:noProof/>
          <w:lang w:val="en-US"/>
        </w:rPr>
        <w:drawing>
          <wp:inline distT="0" distB="0" distL="0" distR="0" wp14:anchorId="3607BAC2" wp14:editId="418ABE75">
            <wp:extent cx="6076950" cy="2636520"/>
            <wp:effectExtent l="0" t="0" r="0" b="1143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3670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703670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703670" w:rsidRPr="009D718A" w:rsidRDefault="00916CC8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9D718A">
        <w:rPr>
          <w:rFonts w:ascii="Trebuchet MS" w:hAnsi="Trebuchet MS"/>
          <w:b/>
        </w:rPr>
        <w:lastRenderedPageBreak/>
        <w:t xml:space="preserve">Proiectul cod </w:t>
      </w:r>
      <w:proofErr w:type="spellStart"/>
      <w:r w:rsidRPr="009D718A">
        <w:rPr>
          <w:rFonts w:ascii="Trebuchet MS" w:hAnsi="Trebuchet MS"/>
          <w:b/>
        </w:rPr>
        <w:t>MySMIS</w:t>
      </w:r>
      <w:proofErr w:type="spellEnd"/>
      <w:r w:rsidRPr="009D718A">
        <w:rPr>
          <w:rFonts w:ascii="Trebuchet MS" w:hAnsi="Trebuchet MS"/>
          <w:b/>
        </w:rPr>
        <w:t xml:space="preserve"> 140086 /SIPOCA 870:</w:t>
      </w:r>
    </w:p>
    <w:p w:rsidR="00703670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CC3657" w:rsidRDefault="00703670" w:rsidP="008A22C2">
      <w:pPr>
        <w:pStyle w:val="ListParagraph"/>
        <w:numPr>
          <w:ilvl w:val="0"/>
          <w:numId w:val="48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916CC8">
        <w:rPr>
          <w:rFonts w:ascii="Trebuchet MS" w:hAnsi="Trebuchet MS"/>
        </w:rPr>
        <w:t xml:space="preserve">este complementar cu proiectul </w:t>
      </w:r>
      <w:r w:rsidR="00916CC8" w:rsidRPr="00916CC8">
        <w:rPr>
          <w:rFonts w:ascii="Trebuchet MS" w:hAnsi="Trebuchet MS"/>
        </w:rPr>
        <w:t xml:space="preserve">cod </w:t>
      </w:r>
      <w:proofErr w:type="spellStart"/>
      <w:r w:rsidR="00916CC8" w:rsidRPr="00916CC8">
        <w:rPr>
          <w:rFonts w:ascii="Trebuchet MS" w:hAnsi="Trebuchet MS"/>
        </w:rPr>
        <w:t>MySMIS</w:t>
      </w:r>
      <w:proofErr w:type="spellEnd"/>
      <w:r w:rsidR="00916CC8" w:rsidRPr="00916CC8">
        <w:rPr>
          <w:rFonts w:ascii="Trebuchet MS" w:hAnsi="Trebuchet MS"/>
        </w:rPr>
        <w:t xml:space="preserve"> 119957/ </w:t>
      </w:r>
      <w:r w:rsidRPr="00916CC8">
        <w:rPr>
          <w:rFonts w:ascii="Trebuchet MS" w:hAnsi="Trebuchet MS"/>
        </w:rPr>
        <w:t xml:space="preserve">SIPOCA 136, </w:t>
      </w:r>
      <w:r w:rsidR="00916CC8" w:rsidRPr="00916CC8">
        <w:rPr>
          <w:rFonts w:ascii="Trebuchet MS" w:hAnsi="Trebuchet MS"/>
        </w:rPr>
        <w:t xml:space="preserve">ale cărui livrabile stau la baza </w:t>
      </w:r>
      <w:r w:rsidR="00916CC8">
        <w:rPr>
          <w:rFonts w:ascii="Trebuchet MS" w:hAnsi="Trebuchet MS"/>
        </w:rPr>
        <w:t xml:space="preserve">elaborării </w:t>
      </w:r>
      <w:r w:rsidR="00916CC8" w:rsidRPr="00916CC8">
        <w:rPr>
          <w:rFonts w:ascii="Trebuchet MS" w:hAnsi="Trebuchet MS"/>
        </w:rPr>
        <w:t xml:space="preserve">manualelor de </w:t>
      </w:r>
      <w:r w:rsidR="00AB1F67">
        <w:rPr>
          <w:rFonts w:ascii="Trebuchet MS" w:hAnsi="Trebuchet MS"/>
        </w:rPr>
        <w:t>curs</w:t>
      </w:r>
      <w:r w:rsidR="00916CC8">
        <w:rPr>
          <w:rFonts w:ascii="Trebuchet MS" w:hAnsi="Trebuchet MS"/>
        </w:rPr>
        <w:t xml:space="preserve"> utilizate în procesul de formare</w:t>
      </w:r>
      <w:r w:rsidR="00916CC8" w:rsidRPr="00916CC8">
        <w:rPr>
          <w:rFonts w:ascii="Trebuchet MS" w:hAnsi="Trebuchet MS"/>
        </w:rPr>
        <w:t xml:space="preserve">, </w:t>
      </w:r>
      <w:r w:rsidR="008A22C2">
        <w:rPr>
          <w:rFonts w:ascii="Trebuchet MS" w:hAnsi="Trebuchet MS"/>
        </w:rPr>
        <w:t xml:space="preserve">și pot fi consultate pe pagina web a ANFP la următorul link: </w:t>
      </w:r>
    </w:p>
    <w:p w:rsidR="00916CC8" w:rsidRPr="00916CC8" w:rsidRDefault="003B72B9" w:rsidP="00CC3657">
      <w:pPr>
        <w:pStyle w:val="ListParagraph"/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hyperlink r:id="rId15" w:history="1">
        <w:r w:rsidR="009D718A" w:rsidRPr="00CE3E08">
          <w:rPr>
            <w:rStyle w:val="Hyperlink"/>
            <w:rFonts w:ascii="Trebuchet MS" w:hAnsi="Trebuchet MS"/>
          </w:rPr>
          <w:t>http://www.anfp.gov.ro/continut/Activitati_si_rezultate_din_proiect_SIPOCA_136</w:t>
        </w:r>
      </w:hyperlink>
      <w:r w:rsidR="009D718A">
        <w:rPr>
          <w:rFonts w:ascii="Trebuchet MS" w:hAnsi="Trebuchet MS"/>
        </w:rPr>
        <w:t xml:space="preserve"> </w:t>
      </w:r>
      <w:r w:rsidR="008A22C2">
        <w:rPr>
          <w:rFonts w:ascii="Trebuchet MS" w:hAnsi="Trebuchet MS"/>
        </w:rPr>
        <w:t>.</w:t>
      </w:r>
    </w:p>
    <w:p w:rsidR="00DD2722" w:rsidRPr="00C4623E" w:rsidRDefault="00916CC8" w:rsidP="00916CC8">
      <w:pPr>
        <w:pStyle w:val="ListParagraph"/>
        <w:numPr>
          <w:ilvl w:val="0"/>
          <w:numId w:val="48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916CC8">
        <w:rPr>
          <w:rFonts w:ascii="Trebuchet MS" w:hAnsi="Trebuchet MS"/>
        </w:rPr>
        <w:t xml:space="preserve">asigură </w:t>
      </w:r>
      <w:r w:rsidR="00703670" w:rsidRPr="00916CC8">
        <w:rPr>
          <w:rFonts w:ascii="Trebuchet MS" w:hAnsi="Trebuchet MS"/>
        </w:rPr>
        <w:t xml:space="preserve">cadrul pentru intervențiile care vor fi susținute prin </w:t>
      </w:r>
      <w:r w:rsidR="00AB1F67">
        <w:rPr>
          <w:rFonts w:ascii="Trebuchet MS" w:hAnsi="Trebuchet MS"/>
        </w:rPr>
        <w:t>Planul Național d</w:t>
      </w:r>
      <w:r w:rsidR="00AB1F67" w:rsidRPr="00916CC8">
        <w:rPr>
          <w:rFonts w:ascii="Trebuchet MS" w:hAnsi="Trebuchet MS"/>
        </w:rPr>
        <w:t xml:space="preserve">e Redresare </w:t>
      </w:r>
      <w:r w:rsidR="00AB1F67">
        <w:rPr>
          <w:rFonts w:ascii="Trebuchet MS" w:hAnsi="Trebuchet MS"/>
        </w:rPr>
        <w:t>ș</w:t>
      </w:r>
      <w:r w:rsidR="00AB1F67" w:rsidRPr="00916CC8">
        <w:rPr>
          <w:rFonts w:ascii="Trebuchet MS" w:hAnsi="Trebuchet MS"/>
        </w:rPr>
        <w:t>i Reziliență</w:t>
      </w:r>
      <w:r w:rsidR="00FA2EC3">
        <w:rPr>
          <w:rFonts w:ascii="Trebuchet MS" w:hAnsi="Trebuchet MS"/>
        </w:rPr>
        <w:t xml:space="preserve">, </w:t>
      </w:r>
      <w:r w:rsidR="008A22C2" w:rsidRPr="00C4623E">
        <w:rPr>
          <w:rFonts w:ascii="Trebuchet MS" w:hAnsi="Trebuchet MS"/>
        </w:rPr>
        <w:t>pentru care ANFP are calitate de coordonator de reformă</w:t>
      </w:r>
      <w:r w:rsidR="00C4623E" w:rsidRPr="00C4623E">
        <w:rPr>
          <w:rFonts w:ascii="Trebuchet MS" w:hAnsi="Trebuchet MS"/>
        </w:rPr>
        <w:t xml:space="preserve">, respectiv </w:t>
      </w:r>
      <w:r w:rsidR="00C4623E" w:rsidRPr="00405683">
        <w:rPr>
          <w:rFonts w:ascii="Trebuchet MS" w:hAnsi="Trebuchet MS"/>
        </w:rPr>
        <w:t xml:space="preserve">implementarea măsurilor cu privire la reforma </w:t>
      </w:r>
      <w:r w:rsidR="00FA2EC3" w:rsidRPr="00405683">
        <w:rPr>
          <w:rFonts w:ascii="Trebuchet MS" w:hAnsi="Trebuchet MS"/>
        </w:rPr>
        <w:t>administrației</w:t>
      </w:r>
      <w:r w:rsidR="00C4623E" w:rsidRPr="00405683">
        <w:rPr>
          <w:rFonts w:ascii="Trebuchet MS" w:hAnsi="Trebuchet MS"/>
        </w:rPr>
        <w:t xml:space="preserve"> publice </w:t>
      </w:r>
      <w:proofErr w:type="spellStart"/>
      <w:r w:rsidR="00C4623E" w:rsidRPr="00405683">
        <w:rPr>
          <w:rFonts w:ascii="Trebuchet MS" w:hAnsi="Trebuchet MS"/>
        </w:rPr>
        <w:t>şi</w:t>
      </w:r>
      <w:proofErr w:type="spellEnd"/>
      <w:r w:rsidR="00C4623E" w:rsidRPr="00405683">
        <w:rPr>
          <w:rFonts w:ascii="Trebuchet MS" w:hAnsi="Trebuchet MS"/>
        </w:rPr>
        <w:t xml:space="preserve"> digitalizare, inclusiv în domeniul managementului resurselor umane (Componenta 7 – Transformare digitală, Investiția 10 Transformarea digitală în managementul funcției publice și Componenta C14 – Buna guvernanță, Reforma 3 – Management performant al resurselor umane în sectorul public)</w:t>
      </w:r>
      <w:r w:rsidR="002A47E5" w:rsidRPr="00C4623E">
        <w:rPr>
          <w:rFonts w:ascii="Trebuchet MS" w:hAnsi="Trebuchet MS"/>
        </w:rPr>
        <w:t>.</w:t>
      </w:r>
    </w:p>
    <w:p w:rsidR="00703670" w:rsidRPr="00C4623E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9825C0" w:rsidRPr="00903A81" w:rsidRDefault="00502294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FA535C" w:rsidRPr="00903A81" w:rsidRDefault="00703670" w:rsidP="002A47E5">
      <w:pPr>
        <w:spacing w:after="160"/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val="en-US"/>
        </w:rPr>
        <w:drawing>
          <wp:inline distT="0" distB="0" distL="0" distR="0" wp14:anchorId="1A1D76C9" wp14:editId="7762CA58">
            <wp:extent cx="4096800" cy="3553200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N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800" cy="3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E631F1" w:rsidRPr="00405683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405683">
        <w:rPr>
          <w:rFonts w:ascii="Trebuchet MS" w:hAnsi="Trebuchet MS"/>
        </w:rPr>
        <w:tab/>
      </w:r>
    </w:p>
    <w:p w:rsidR="00801FE0" w:rsidRPr="00405683" w:rsidRDefault="007713C2" w:rsidP="00405683">
      <w:pPr>
        <w:tabs>
          <w:tab w:val="left" w:pos="3994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R</w:t>
      </w:r>
      <w:r w:rsidRPr="00405683">
        <w:rPr>
          <w:rFonts w:ascii="Trebuchet MS" w:hAnsi="Trebuchet MS"/>
        </w:rPr>
        <w:t>eamintim atât conducătorilor autorităților și instituțiilor publice, cât și funcționarilor publici că formarea profesională reprezintă un drept</w:t>
      </w:r>
      <w:r w:rsidR="00CC3657">
        <w:rPr>
          <w:rFonts w:ascii="Trebuchet MS" w:hAnsi="Trebuchet MS"/>
        </w:rPr>
        <w:t>,</w:t>
      </w:r>
      <w:r w:rsidRPr="00405683">
        <w:rPr>
          <w:rFonts w:ascii="Trebuchet MS" w:hAnsi="Trebuchet MS"/>
        </w:rPr>
        <w:t xml:space="preserve"> </w:t>
      </w:r>
      <w:r w:rsidR="00FA2EC3">
        <w:rPr>
          <w:rFonts w:ascii="Trebuchet MS" w:hAnsi="Trebuchet MS"/>
        </w:rPr>
        <w:t>dar</w:t>
      </w:r>
      <w:r w:rsidRPr="00405683">
        <w:rPr>
          <w:rFonts w:ascii="Trebuchet MS" w:hAnsi="Trebuchet MS"/>
        </w:rPr>
        <w:t xml:space="preserve"> și o obligație, iar în contextul implementării unor reforme reale și sustenabile este nevoie de un corp de funcționari publici foarte bine pregătiți, eficienți în ducerea la îndeplinire a atribuțiilor și obiectivelor instituționale</w:t>
      </w:r>
      <w:r w:rsidR="00FA2EC3">
        <w:rPr>
          <w:rFonts w:ascii="Trebuchet MS" w:hAnsi="Trebuchet MS"/>
        </w:rPr>
        <w:t>. M</w:t>
      </w:r>
      <w:r>
        <w:rPr>
          <w:rFonts w:ascii="Trebuchet MS" w:hAnsi="Trebuchet MS"/>
        </w:rPr>
        <w:t xml:space="preserve">ulțumim </w:t>
      </w:r>
      <w:r w:rsidR="00FA2EC3">
        <w:rPr>
          <w:rFonts w:ascii="Trebuchet MS" w:hAnsi="Trebuchet MS"/>
        </w:rPr>
        <w:t>colegilor</w:t>
      </w:r>
      <w:bookmarkStart w:id="0" w:name="_GoBack"/>
      <w:bookmarkEnd w:id="0"/>
      <w:r>
        <w:rPr>
          <w:rFonts w:ascii="Trebuchet MS" w:hAnsi="Trebuchet MS"/>
        </w:rPr>
        <w:t xml:space="preserve"> care au participat sau și-au exprimat interesul pentru participare la programele de formare puse la dispoziție, gratuit, de către Agenția Națională a Funcționarilor Publici.</w:t>
      </w:r>
    </w:p>
    <w:sectPr w:rsidR="00801FE0" w:rsidRPr="00405683" w:rsidSect="0070367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567" w:right="567" w:bottom="567" w:left="1134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71" w:rsidRDefault="00993971">
      <w:r>
        <w:separator/>
      </w:r>
    </w:p>
  </w:endnote>
  <w:endnote w:type="continuationSeparator" w:id="0">
    <w:p w:rsidR="00993971" w:rsidRDefault="0099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A2EC3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A2EC3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2C26B36" wp14:editId="0797DF1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BA2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A2EC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A2EC3">
      <w:rPr>
        <w:rFonts w:ascii="Trebuchet MS" w:hAnsi="Trebuchet MS"/>
        <w:b/>
        <w:bCs/>
        <w:noProof/>
        <w:sz w:val="20"/>
        <w:szCs w:val="20"/>
      </w:rPr>
      <w:t>3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85570F4" wp14:editId="30DB426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7A5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71" w:rsidRDefault="00993971">
      <w:r>
        <w:separator/>
      </w:r>
    </w:p>
  </w:footnote>
  <w:footnote w:type="continuationSeparator" w:id="0">
    <w:p w:rsidR="00993971" w:rsidRDefault="0099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993971">
    <w:pPr>
      <w:pStyle w:val="Header"/>
    </w:pPr>
    <w:r>
      <w:rPr>
        <w:noProof/>
        <w:lang w:eastAsia="ro-RO"/>
      </w:rPr>
      <w:pict w14:anchorId="62903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01269C"/>
    <w:multiLevelType w:val="hybridMultilevel"/>
    <w:tmpl w:val="71904610"/>
    <w:lvl w:ilvl="0" w:tplc="080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 w15:restartNumberingAfterBreak="0">
    <w:nsid w:val="628977D9"/>
    <w:multiLevelType w:val="hybridMultilevel"/>
    <w:tmpl w:val="A390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3"/>
  </w:num>
  <w:num w:numId="4">
    <w:abstractNumId w:val="10"/>
  </w:num>
  <w:num w:numId="5">
    <w:abstractNumId w:val="38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1"/>
  </w:num>
  <w:num w:numId="19">
    <w:abstractNumId w:val="46"/>
  </w:num>
  <w:num w:numId="20">
    <w:abstractNumId w:val="18"/>
  </w:num>
  <w:num w:numId="21">
    <w:abstractNumId w:val="30"/>
  </w:num>
  <w:num w:numId="22">
    <w:abstractNumId w:val="47"/>
  </w:num>
  <w:num w:numId="23">
    <w:abstractNumId w:val="11"/>
  </w:num>
  <w:num w:numId="24">
    <w:abstractNumId w:val="28"/>
  </w:num>
  <w:num w:numId="25">
    <w:abstractNumId w:val="12"/>
  </w:num>
  <w:num w:numId="26">
    <w:abstractNumId w:val="42"/>
  </w:num>
  <w:num w:numId="27">
    <w:abstractNumId w:val="15"/>
  </w:num>
  <w:num w:numId="28">
    <w:abstractNumId w:val="22"/>
  </w:num>
  <w:num w:numId="29">
    <w:abstractNumId w:val="27"/>
  </w:num>
  <w:num w:numId="30">
    <w:abstractNumId w:val="17"/>
  </w:num>
  <w:num w:numId="31">
    <w:abstractNumId w:val="20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6"/>
  </w:num>
  <w:num w:numId="41">
    <w:abstractNumId w:val="19"/>
  </w:num>
  <w:num w:numId="42">
    <w:abstractNumId w:val="25"/>
  </w:num>
  <w:num w:numId="43">
    <w:abstractNumId w:val="26"/>
  </w:num>
  <w:num w:numId="44">
    <w:abstractNumId w:val="44"/>
  </w:num>
  <w:num w:numId="45">
    <w:abstractNumId w:val="21"/>
  </w:num>
  <w:num w:numId="46">
    <w:abstractNumId w:val="23"/>
  </w:num>
  <w:num w:numId="47">
    <w:abstractNumId w:val="45"/>
  </w:num>
  <w:num w:numId="48">
    <w:abstractNumId w:val="39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3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3B0B"/>
    <w:rsid w:val="00054A7F"/>
    <w:rsid w:val="00055653"/>
    <w:rsid w:val="00062028"/>
    <w:rsid w:val="00063DCF"/>
    <w:rsid w:val="00065E98"/>
    <w:rsid w:val="00074AA3"/>
    <w:rsid w:val="00090D35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0649"/>
    <w:rsid w:val="001B5FEA"/>
    <w:rsid w:val="001C204D"/>
    <w:rsid w:val="001C3C2E"/>
    <w:rsid w:val="001C48A9"/>
    <w:rsid w:val="001D1BBD"/>
    <w:rsid w:val="001D2521"/>
    <w:rsid w:val="001D5A40"/>
    <w:rsid w:val="001E171A"/>
    <w:rsid w:val="001E523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2BE"/>
    <w:rsid w:val="002777D6"/>
    <w:rsid w:val="00280086"/>
    <w:rsid w:val="00286583"/>
    <w:rsid w:val="00292E89"/>
    <w:rsid w:val="00293A8F"/>
    <w:rsid w:val="002963BA"/>
    <w:rsid w:val="00296FC2"/>
    <w:rsid w:val="002A40C0"/>
    <w:rsid w:val="002A47E5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B72B9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683"/>
    <w:rsid w:val="00413CA5"/>
    <w:rsid w:val="0042014D"/>
    <w:rsid w:val="0042108A"/>
    <w:rsid w:val="00430C56"/>
    <w:rsid w:val="00431782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0BC"/>
    <w:rsid w:val="00466D2D"/>
    <w:rsid w:val="00473883"/>
    <w:rsid w:val="00473F39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55A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369D"/>
    <w:rsid w:val="00566BCB"/>
    <w:rsid w:val="00566DAC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FB7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464"/>
    <w:rsid w:val="00600F1D"/>
    <w:rsid w:val="0060310C"/>
    <w:rsid w:val="00604168"/>
    <w:rsid w:val="00611370"/>
    <w:rsid w:val="006128FF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6ECA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3833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670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47FFE"/>
    <w:rsid w:val="007540FC"/>
    <w:rsid w:val="007543CC"/>
    <w:rsid w:val="00763E91"/>
    <w:rsid w:val="0076605A"/>
    <w:rsid w:val="007713C2"/>
    <w:rsid w:val="00771AC9"/>
    <w:rsid w:val="00776B5F"/>
    <w:rsid w:val="00780258"/>
    <w:rsid w:val="007858FA"/>
    <w:rsid w:val="00785B47"/>
    <w:rsid w:val="007940B1"/>
    <w:rsid w:val="0079779E"/>
    <w:rsid w:val="007977F3"/>
    <w:rsid w:val="00797CBE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0FF4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22C2"/>
    <w:rsid w:val="008A6A64"/>
    <w:rsid w:val="008A6E07"/>
    <w:rsid w:val="008B4474"/>
    <w:rsid w:val="008C11E6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16CC8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16B5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3971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718A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04FAB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1F67"/>
    <w:rsid w:val="00AC19A2"/>
    <w:rsid w:val="00AC5884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282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623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3657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2722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6B92"/>
    <w:rsid w:val="00F17F59"/>
    <w:rsid w:val="00F251C1"/>
    <w:rsid w:val="00F2650B"/>
    <w:rsid w:val="00F27FAE"/>
    <w:rsid w:val="00F35297"/>
    <w:rsid w:val="00F36911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9756F"/>
    <w:rsid w:val="00FA2A01"/>
    <w:rsid w:val="00FA2EC3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5ACDE9"/>
  <w15:docId w15:val="{0A71F051-F524-4885-87F0-62D3D4F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9D7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microsoft.com/office/2014/relationships/chartEx" Target="charts/chart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http://www.anfp.gov.ro/continut/Activitati_si_rezultate_din_proiect_SIPOCA_13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4/relationships/chartEx" Target="charts/chartEx1.xml"/><Relationship Id="rId14" Type="http://schemas.openxmlformats.org/officeDocument/2006/relationships/chart" Target="charts/chart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_IULIANA%20DOCUMENTE\__IP%2018_2020\6.Formare\_Raportare%20inscrieri\SIPOCA%20870-Formare%20centralizare%20seria%201%2030iun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_IULIANA%20DOCUMENTE\__IP%2018_2020\6.Formare\_Raportare%20inscrieri\SIPOCA%20870-Formare%20centralizare%20seria%201%2030iun2022.xlsx" TargetMode="Externa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daniel.mihailescu\AppData\Local\Microsoft\Windows\INetCache\Content.Outlook\7SRODUKZ\SIPOCA%20870-Formare%20centralizare%20seria%201%2030iun2022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daniel.mihailescu\AppData\Local\Microsoft\Windows\INetCache\Content.Outlook\7SRODUKZ\SIPOCA%20870-Formare%20centralizare%20seria%201%2030iun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media notelor la evaluare digitalizare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3655472830747641E-2"/>
          <c:y val="0.11819630337794773"/>
          <c:w val="0.74289048491463316"/>
          <c:h val="0.8078767759192624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solidFill>
                <a:schemeClr val="accent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  <a:effectLst/>
                  </c:spPr>
                </c15:leaderLines>
              </c:ext>
            </c:extLst>
          </c:dLbls>
          <c:cat>
            <c:strRef>
              <c:f>Sheet2!$A$1:$A$19</c:f>
              <c:strCache>
                <c:ptCount val="19"/>
                <c:pt idx="0">
                  <c:v>G1DIGI</c:v>
                </c:pt>
                <c:pt idx="1">
                  <c:v>G2DIGI</c:v>
                </c:pt>
                <c:pt idx="2">
                  <c:v>G3DIGI</c:v>
                </c:pt>
                <c:pt idx="3">
                  <c:v>G4DIGI</c:v>
                </c:pt>
                <c:pt idx="4">
                  <c:v>G5DIGI</c:v>
                </c:pt>
                <c:pt idx="5">
                  <c:v>G6DIGI</c:v>
                </c:pt>
                <c:pt idx="6">
                  <c:v>G7DIGI</c:v>
                </c:pt>
                <c:pt idx="7">
                  <c:v>G8DIGI</c:v>
                </c:pt>
                <c:pt idx="8">
                  <c:v>G9DIGI</c:v>
                </c:pt>
                <c:pt idx="9">
                  <c:v>G10DIGI</c:v>
                </c:pt>
                <c:pt idx="10">
                  <c:v>G11DIGI</c:v>
                </c:pt>
                <c:pt idx="11">
                  <c:v>G12DIGI</c:v>
                </c:pt>
                <c:pt idx="12">
                  <c:v>G13DIGI</c:v>
                </c:pt>
                <c:pt idx="13">
                  <c:v>G14DIGI</c:v>
                </c:pt>
                <c:pt idx="14">
                  <c:v>G15DIGI</c:v>
                </c:pt>
                <c:pt idx="15">
                  <c:v>G16DIGI</c:v>
                </c:pt>
                <c:pt idx="16">
                  <c:v>G17DIGI</c:v>
                </c:pt>
                <c:pt idx="17">
                  <c:v>G18DIGI</c:v>
                </c:pt>
                <c:pt idx="18">
                  <c:v>G19DIGI</c:v>
                </c:pt>
              </c:strCache>
            </c:strRef>
          </c:cat>
          <c:val>
            <c:numRef>
              <c:f>Sheet2!$B$1:$B$19</c:f>
              <c:numCache>
                <c:formatCode>General</c:formatCode>
                <c:ptCount val="19"/>
                <c:pt idx="0" formatCode="0.00">
                  <c:v>8.67</c:v>
                </c:pt>
                <c:pt idx="1">
                  <c:v>8.08</c:v>
                </c:pt>
                <c:pt idx="2">
                  <c:v>9.1300000000000008</c:v>
                </c:pt>
                <c:pt idx="3">
                  <c:v>8.9499999999999993</c:v>
                </c:pt>
                <c:pt idx="4">
                  <c:v>7.79</c:v>
                </c:pt>
                <c:pt idx="5">
                  <c:v>9.1199999999999992</c:v>
                </c:pt>
                <c:pt idx="6">
                  <c:v>9.36</c:v>
                </c:pt>
                <c:pt idx="7">
                  <c:v>8.1999999999999993</c:v>
                </c:pt>
                <c:pt idx="8">
                  <c:v>8.7100000000000009</c:v>
                </c:pt>
                <c:pt idx="9">
                  <c:v>9.1300000000000008</c:v>
                </c:pt>
                <c:pt idx="10">
                  <c:v>7.83</c:v>
                </c:pt>
                <c:pt idx="11">
                  <c:v>9.16</c:v>
                </c:pt>
                <c:pt idx="12">
                  <c:v>8.26</c:v>
                </c:pt>
                <c:pt idx="13">
                  <c:v>8.85</c:v>
                </c:pt>
                <c:pt idx="14">
                  <c:v>8.42</c:v>
                </c:pt>
                <c:pt idx="15">
                  <c:v>9.48</c:v>
                </c:pt>
                <c:pt idx="16">
                  <c:v>8.93</c:v>
                </c:pt>
                <c:pt idx="17">
                  <c:v>9</c:v>
                </c:pt>
                <c:pt idx="18">
                  <c:v>9.5299999999999994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51-435B-BDC2-2C56E77E30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252201984"/>
        <c:axId val="307763840"/>
      </c:barChart>
      <c:catAx>
        <c:axId val="252201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763840"/>
        <c:crosses val="autoZero"/>
        <c:auto val="1"/>
        <c:lblAlgn val="ctr"/>
        <c:lblOffset val="100"/>
        <c:noMultiLvlLbl val="0"/>
      </c:catAx>
      <c:valAx>
        <c:axId val="307763840"/>
        <c:scaling>
          <c:orientation val="minMax"/>
          <c:max val="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2201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media notelor la evaluare management resurse umane </a:t>
            </a:r>
            <a:endParaRPr lang="en-GB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067847769028871"/>
          <c:y val="0.25083333333333335"/>
          <c:w val="0.78298118985126863"/>
          <c:h val="0.6417672790901137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Sheet2!$A$26:$A$31</c:f>
              <c:strCache>
                <c:ptCount val="6"/>
                <c:pt idx="0">
                  <c:v>G1MRU</c:v>
                </c:pt>
                <c:pt idx="1">
                  <c:v>G2MRU</c:v>
                </c:pt>
                <c:pt idx="2">
                  <c:v>G3MRU</c:v>
                </c:pt>
                <c:pt idx="3">
                  <c:v>G4MRU</c:v>
                </c:pt>
                <c:pt idx="4">
                  <c:v>G5MRU</c:v>
                </c:pt>
                <c:pt idx="5">
                  <c:v>G6MRU</c:v>
                </c:pt>
              </c:strCache>
            </c:strRef>
          </c:cat>
          <c:val>
            <c:numRef>
              <c:f>Sheet2!$B$26:$B$31</c:f>
              <c:numCache>
                <c:formatCode>General</c:formatCode>
                <c:ptCount val="6"/>
                <c:pt idx="0">
                  <c:v>7.65</c:v>
                </c:pt>
                <c:pt idx="1">
                  <c:v>7.47</c:v>
                </c:pt>
                <c:pt idx="2">
                  <c:v>7.92</c:v>
                </c:pt>
                <c:pt idx="3">
                  <c:v>7.83</c:v>
                </c:pt>
                <c:pt idx="4">
                  <c:v>8</c:v>
                </c:pt>
                <c:pt idx="5">
                  <c:v>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7E-4ABA-BC6D-5497E3E2D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51693696"/>
        <c:axId val="251695488"/>
      </c:barChart>
      <c:catAx>
        <c:axId val="251693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1695488"/>
        <c:crosses val="autoZero"/>
        <c:auto val="1"/>
        <c:lblAlgn val="ctr"/>
        <c:lblOffset val="100"/>
        <c:noMultiLvlLbl val="0"/>
      </c:catAx>
      <c:valAx>
        <c:axId val="251695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1693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Sheet1!$B$4:$D$23</cx:f>
        <cx:lvl ptCount="20">
          <cx:pt idx="1">25</cx:pt>
          <cx:pt idx="2">25</cx:pt>
          <cx:pt idx="3">25</cx:pt>
          <cx:pt idx="4">25</cx:pt>
          <cx:pt idx="5">25</cx:pt>
          <cx:pt idx="6">25</cx:pt>
          <cx:pt idx="7">25</cx:pt>
          <cx:pt idx="8">25</cx:pt>
          <cx:pt idx="9">25</cx:pt>
          <cx:pt idx="10">25</cx:pt>
          <cx:pt idx="11">25</cx:pt>
          <cx:pt idx="12">25</cx:pt>
          <cx:pt idx="13">25</cx:pt>
          <cx:pt idx="14">21</cx:pt>
          <cx:pt idx="15">25</cx:pt>
          <cx:pt idx="16">25</cx:pt>
          <cx:pt idx="17">22</cx:pt>
          <cx:pt idx="18">25</cx:pt>
          <cx:pt idx="19">15</cx:pt>
        </cx:lvl>
        <cx:lvl ptCount="20">
          <cx:pt idx="1">18.mai</cx:pt>
          <cx:pt idx="2">17.mai</cx:pt>
          <cx:pt idx="3">20.mai</cx:pt>
          <cx:pt idx="4">16.mai</cx:pt>
          <cx:pt idx="5">16.mai</cx:pt>
          <cx:pt idx="6">19.mai</cx:pt>
          <cx:pt idx="7">19.mai</cx:pt>
          <cx:pt idx="8">20.mai</cx:pt>
          <cx:pt idx="9">27.mai</cx:pt>
          <cx:pt idx="10">06.iun</cx:pt>
          <cx:pt idx="11">20.iun</cx:pt>
          <cx:pt idx="12">06.iun</cx:pt>
          <cx:pt idx="13">07.iun</cx:pt>
          <cx:pt idx="14">06.iun</cx:pt>
          <cx:pt idx="15">06.iun</cx:pt>
          <cx:pt idx="16">14.iun</cx:pt>
          <cx:pt idx="17">09.iun</cx:pt>
          <cx:pt idx="18">17.iun</cx:pt>
          <cx:pt idx="19">06.iun</cx:pt>
        </cx:lvl>
        <cx:lvl ptCount="20">
          <cx:pt idx="1">G1</cx:pt>
          <cx:pt idx="2">G2</cx:pt>
          <cx:pt idx="3">G3</cx:pt>
          <cx:pt idx="4">G4</cx:pt>
          <cx:pt idx="5">G5</cx:pt>
          <cx:pt idx="6">G6</cx:pt>
          <cx:pt idx="7">G7</cx:pt>
          <cx:pt idx="8">G8</cx:pt>
          <cx:pt idx="9">G9</cx:pt>
          <cx:pt idx="10">G10</cx:pt>
          <cx:pt idx="11">G11</cx:pt>
          <cx:pt idx="12">G12</cx:pt>
          <cx:pt idx="13">G13</cx:pt>
          <cx:pt idx="14">G14</cx:pt>
          <cx:pt idx="15">G15</cx:pt>
          <cx:pt idx="16">G16</cx:pt>
          <cx:pt idx="17">G17</cx:pt>
          <cx:pt idx="18">G18</cx:pt>
          <cx:pt idx="19">G19</cx:pt>
        </cx:lvl>
      </cx:strDim>
      <cx:numDim type="val">
        <cx:f>Sheet1!$E$4:$E$23</cx:f>
        <cx:lvl ptCount="20" formatCode="General">
          <cx:pt idx="1">24</cx:pt>
          <cx:pt idx="2">24</cx:pt>
          <cx:pt idx="3">23</cx:pt>
          <cx:pt idx="4">23</cx:pt>
          <cx:pt idx="5">23</cx:pt>
          <cx:pt idx="6">21</cx:pt>
          <cx:pt idx="7">25</cx:pt>
          <cx:pt idx="8">22</cx:pt>
          <cx:pt idx="9">25</cx:pt>
          <cx:pt idx="10">24</cx:pt>
          <cx:pt idx="11">23</cx:pt>
          <cx:pt idx="12">23</cx:pt>
          <cx:pt idx="13">21</cx:pt>
          <cx:pt idx="14">23</cx:pt>
          <cx:pt idx="15">23</cx:pt>
          <cx:pt idx="16">24</cx:pt>
          <cx:pt idx="17">21</cx:pt>
          <cx:pt idx="18">23</cx:pt>
          <cx:pt idx="19">15</cx:pt>
        </cx:lvl>
      </cx:numDim>
    </cx:data>
  </cx:chartData>
  <cx:chart>
    <cx:title pos="t" align="ctr" overlay="0">
      <cx:tx>
        <cx:rich>
          <a:bodyPr spcFirstLastPara="1" vertOverflow="ellipsis" wrap="square" lIns="0" tIns="0" rIns="0" bIns="0" anchor="ctr" anchorCtr="1"/>
          <a:lstStyle/>
          <a:p>
            <a:pPr algn="ctr">
              <a:defRPr sz="1400"/>
            </a:pPr>
            <a:r>
              <a:rPr lang="en-US" sz="1400"/>
              <a:t>N</a:t>
            </a:r>
            <a:r>
              <a:rPr lang="ro-RO" sz="1400"/>
              <a:t>umăr de absolvenți modul DIGITALIZARE</a:t>
            </a:r>
            <a:endParaRPr lang="en-US" sz="1400"/>
          </a:p>
        </cx:rich>
      </cx:tx>
    </cx:title>
    <cx:plotArea>
      <cx:plotAreaRegion>
        <cx:series layoutId="waterfall" uniqueId="{AA36DC1F-C401-441E-99A9-5EF4AE19391E}">
          <cx:tx>
            <cx:txData>
              <cx:f>Sheet1!#REF!</cx:f>
              <cx:v/>
            </cx:txData>
          </cx:tx>
          <cx:dataLabels pos="outEnd">
            <cx:visibility seriesName="0" categoryName="0" value="1"/>
          </cx:dataLabels>
          <cx:dataId val="0"/>
          <cx:layoutPr>
            <cx:visibility connectorLines="0"/>
            <cx:subtotals/>
          </cx:layoutPr>
        </cx:series>
      </cx:plotAreaRegion>
      <cx:axis id="0">
        <cx:catScaling gapWidth="0.5"/>
        <cx:tickLabels/>
      </cx:axis>
      <cx:axis id="1" hidden="1">
        <cx:valScaling/>
        <cx:majorGridlines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Sheet1!$K$5:$M$10</cx:f>
        <cx:lvl ptCount="6">
          <cx:pt idx="0">25</cx:pt>
          <cx:pt idx="1">24</cx:pt>
          <cx:pt idx="2">29</cx:pt>
          <cx:pt idx="3">25</cx:pt>
          <cx:pt idx="4">25</cx:pt>
          <cx:pt idx="5">24</cx:pt>
        </cx:lvl>
        <cx:lvl ptCount="6">
          <cx:pt idx="0">23.mai.22</cx:pt>
          <cx:pt idx="1">23.mai.22</cx:pt>
          <cx:pt idx="2">24.mai.22</cx:pt>
          <cx:pt idx="3">24.mai.22</cx:pt>
          <cx:pt idx="4">27.mai.22</cx:pt>
          <cx:pt idx="5">25.mai.22</cx:pt>
        </cx:lvl>
        <cx:lvl ptCount="6">
          <cx:pt idx="0">G1MRU</cx:pt>
          <cx:pt idx="1">G2MRU</cx:pt>
          <cx:pt idx="2">G3MRU</cx:pt>
          <cx:pt idx="3">G4MRU</cx:pt>
          <cx:pt idx="4">G5MRU</cx:pt>
          <cx:pt idx="5">G6MRU</cx:pt>
        </cx:lvl>
      </cx:strDim>
      <cx:numDim type="val">
        <cx:f>Sheet1!$N$5:$N$10</cx:f>
        <cx:lvl ptCount="6" formatCode="General">
          <cx:pt idx="0">20</cx:pt>
          <cx:pt idx="1">21</cx:pt>
          <cx:pt idx="2">26</cx:pt>
          <cx:pt idx="3">24</cx:pt>
          <cx:pt idx="4">25</cx:pt>
          <cx:pt idx="5">19</cx:pt>
        </cx:lvl>
      </cx:numDim>
    </cx:data>
  </cx:chartData>
  <cx:chart>
    <cx:title pos="t" align="ctr" overlay="0">
      <cx:tx>
        <cx:rich>
          <a:bodyPr spcFirstLastPara="1" vertOverflow="ellipsis" wrap="square" lIns="0" tIns="0" rIns="0" bIns="0" anchor="ctr" anchorCtr="1"/>
          <a:lstStyle/>
          <a:p>
            <a:pPr algn="ctr">
              <a:defRPr sz="1600"/>
            </a:pPr>
            <a:r>
              <a:rPr lang="ro-RO" sz="1600"/>
              <a:t>Număr participanți modul management resurse umane</a:t>
            </a:r>
            <a:endParaRPr lang="en-US" sz="1600"/>
          </a:p>
        </cx:rich>
      </cx:tx>
    </cx:title>
    <cx:plotArea>
      <cx:plotAreaRegion>
        <cx:series layoutId="waterfall" uniqueId="{2438188A-C0EC-4936-8710-EF05DD6B22FB}">
          <cx:tx>
            <cx:txData>
              <cx:f>Sheet1!$N$4</cx:f>
              <cx:v>finalizat</cx:v>
            </cx:txData>
          </cx:tx>
          <cx:dataLabels>
            <cx:visibility seriesName="0" categoryName="0" value="1"/>
          </cx:dataLabels>
          <cx:dataId val="0"/>
          <cx:layoutPr>
            <cx:visibility connectorLines="0"/>
            <cx:subtotals/>
          </cx:layoutPr>
        </cx:series>
      </cx:plotAreaRegion>
      <cx:axis id="0" hidden="1">
        <cx:catScaling gapWidth="0.5"/>
        <cx:tickLabels/>
      </cx:axis>
      <cx:axis id="1" hidden="1">
        <cx:valScaling/>
        <cx:majorGridlines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25000"/>
            <a:lumOff val="7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25000"/>
            <a:lumOff val="7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cap="all" spc="15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8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lt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lumMod val="60000"/>
        </a:schemeClr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2857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25400" cap="flat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2857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8BEC-AC91-4ECA-9D4B-B93ECC3B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Iuliana Cotarlan</dc:creator>
  <cp:lastModifiedBy>Florina Elena Dragos</cp:lastModifiedBy>
  <cp:revision>2</cp:revision>
  <cp:lastPrinted>2019-10-07T12:15:00Z</cp:lastPrinted>
  <dcterms:created xsi:type="dcterms:W3CDTF">2022-07-01T10:46:00Z</dcterms:created>
  <dcterms:modified xsi:type="dcterms:W3CDTF">2022-07-01T10:46:00Z</dcterms:modified>
</cp:coreProperties>
</file>