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A3" w:rsidRDefault="00CD13A3"/>
    <w:p w:rsidR="00291C70" w:rsidRPr="00315A9D" w:rsidRDefault="00291C70" w:rsidP="00291C70">
      <w:pPr>
        <w:spacing w:after="0" w:line="360" w:lineRule="auto"/>
        <w:jc w:val="center"/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</w:pPr>
      <w:r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>P</w:t>
      </w:r>
      <w:r w:rsidR="001247C1"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>roiectul</w:t>
      </w:r>
      <w:bookmarkStart w:id="0" w:name="_GoBack"/>
      <w:bookmarkEnd w:id="0"/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 xml:space="preserve"> </w:t>
      </w:r>
      <w:r w:rsidRPr="00315A9D">
        <w:rPr>
          <w:rFonts w:ascii="Trebuchet MS" w:eastAsia="Times New Roman" w:hAnsi="Trebuchet MS" w:cs="Helvetica"/>
          <w:b/>
          <w:bCs/>
          <w:i/>
          <w:kern w:val="36"/>
          <w:sz w:val="24"/>
          <w:szCs w:val="28"/>
          <w:lang w:eastAsia="ro-RO"/>
        </w:rPr>
        <w:t>ETICA - Eficiență, Transparență și Interes pentru Conduita din Administrație</w:t>
      </w:r>
      <w:r w:rsidRPr="00315A9D">
        <w:rPr>
          <w:rFonts w:ascii="Trebuchet MS" w:eastAsia="Times New Roman" w:hAnsi="Trebuchet MS" w:cs="Helvetica"/>
          <w:b/>
          <w:bCs/>
          <w:kern w:val="36"/>
          <w:sz w:val="24"/>
          <w:szCs w:val="28"/>
          <w:lang w:eastAsia="ro-RO"/>
        </w:rPr>
        <w:t>, cod SIPOCA 63, cod SMIS 119741</w:t>
      </w:r>
    </w:p>
    <w:p w:rsidR="00291C70" w:rsidRDefault="00291C70"/>
    <w:p w:rsidR="00291C70" w:rsidRDefault="00291C70" w:rsidP="00291C70">
      <w:pPr>
        <w:spacing w:after="0" w:line="240" w:lineRule="auto"/>
        <w:jc w:val="center"/>
        <w:rPr>
          <w:b/>
          <w:sz w:val="24"/>
          <w:szCs w:val="24"/>
        </w:rPr>
      </w:pPr>
    </w:p>
    <w:p w:rsidR="00291C70" w:rsidRDefault="00291C70" w:rsidP="00291C70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291C70">
        <w:rPr>
          <w:rFonts w:ascii="Trebuchet MS" w:hAnsi="Trebuchet MS"/>
          <w:b/>
          <w:sz w:val="24"/>
          <w:szCs w:val="24"/>
        </w:rPr>
        <w:t xml:space="preserve">Contractori implicați în implementarea </w:t>
      </w:r>
    </w:p>
    <w:p w:rsidR="00291C70" w:rsidRPr="00291C70" w:rsidRDefault="00291C70" w:rsidP="00291C70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291C70">
        <w:rPr>
          <w:rFonts w:ascii="Trebuchet MS" w:hAnsi="Trebuchet MS"/>
          <w:b/>
          <w:sz w:val="24"/>
          <w:szCs w:val="24"/>
        </w:rPr>
        <w:t>contractului de finanțare nr. 43/24.11.2017</w:t>
      </w:r>
    </w:p>
    <w:p w:rsidR="00291C70" w:rsidRPr="00FE6C71" w:rsidRDefault="00291C70" w:rsidP="00291C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1C70" w:rsidRPr="00FE6C71" w:rsidRDefault="00291C70" w:rsidP="00291C70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3554"/>
        <w:gridCol w:w="1453"/>
      </w:tblGrid>
      <w:tr w:rsidR="00291C70" w:rsidTr="00FC3722">
        <w:trPr>
          <w:trHeight w:val="1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Default="00291C70" w:rsidP="00FC37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Denumirea contractorilor </w:t>
            </w:r>
          </w:p>
          <w:p w:rsidR="00291C70" w:rsidRDefault="00291C70" w:rsidP="00FC3722"/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70" w:rsidRDefault="00291C70" w:rsidP="00FC3722">
            <w:r>
              <w:rPr>
                <w:b/>
                <w:bCs/>
              </w:rPr>
              <w:t xml:space="preserve">Obiectul contractului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70" w:rsidRDefault="00291C70" w:rsidP="00FC3722">
            <w:r>
              <w:rPr>
                <w:b/>
                <w:bCs/>
              </w:rPr>
              <w:t xml:space="preserve">Valoarea contractului </w:t>
            </w:r>
          </w:p>
        </w:tc>
      </w:tr>
      <w:tr w:rsidR="00291C70" w:rsidTr="00FC3722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70" w:rsidRDefault="00291C70" w:rsidP="00FC3722">
            <w:r>
              <w:t xml:space="preserve">S.C. BEST TRAVEL SOLUTION S.R.L.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70" w:rsidRDefault="00291C70" w:rsidP="00FC3722">
            <w:r>
              <w:t xml:space="preserve">Servicii organizare a 2 conferințe cu ocazia lansării și închiderii proiectului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70" w:rsidRDefault="00291C70" w:rsidP="00FC3722">
            <w:r>
              <w:t xml:space="preserve">10.610,48 lei (fără TVA) </w:t>
            </w:r>
          </w:p>
        </w:tc>
      </w:tr>
      <w:tr w:rsidR="00291C70" w:rsidTr="00FC3722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70" w:rsidRDefault="00291C70" w:rsidP="00FC3722">
            <w:r>
              <w:t xml:space="preserve">S.C. OLIMPIQ MEDIA S.R.L.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70" w:rsidRDefault="00291C70" w:rsidP="00FC3722">
            <w:r>
              <w:t xml:space="preserve">Servicii promovare proiect - anunțuri în presă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70" w:rsidRDefault="00291C70" w:rsidP="00FC3722">
            <w:r>
              <w:t xml:space="preserve">2.000 lei (fără TVA) </w:t>
            </w:r>
          </w:p>
        </w:tc>
      </w:tr>
      <w:tr w:rsidR="00291C70" w:rsidTr="00FC3722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Pr="004F48E8" w:rsidRDefault="00291C70" w:rsidP="00FC3722">
            <w:r>
              <w:t>S.C. NEXT GENERATION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Default="00291C70" w:rsidP="00FC3722">
            <w:r>
              <w:t>Servicii dezvoltare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Pr="004F48E8" w:rsidRDefault="00291C70" w:rsidP="00FC3722">
            <w:r>
              <w:t>60. 800 lei (fără TVA)</w:t>
            </w:r>
          </w:p>
        </w:tc>
      </w:tr>
      <w:tr w:rsidR="00291C70" w:rsidTr="00FC3722">
        <w:trPr>
          <w:trHeight w:val="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70" w:rsidRDefault="00291C70" w:rsidP="00FC3722">
            <w:r>
              <w:t xml:space="preserve">S.C. AB EUROPEAN RESEARCH GROUP S.R.L.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70" w:rsidRDefault="00291C70" w:rsidP="00FC3722">
            <w:r>
              <w:t xml:space="preserve">Servicii realizare de studii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70" w:rsidRDefault="00291C70" w:rsidP="00FC3722">
            <w:r>
              <w:t xml:space="preserve">33.850 lei (fără TVA) </w:t>
            </w:r>
          </w:p>
        </w:tc>
      </w:tr>
      <w:tr w:rsidR="00291C70" w:rsidTr="00FC3722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Default="00291C70" w:rsidP="00FC3722">
            <w:r w:rsidRPr="00FE6C71">
              <w:t>S.C. THE MANSION ADVERTISING S.R.L.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Default="00291C70" w:rsidP="00FC3722">
            <w:r>
              <w:t>Servicii</w:t>
            </w:r>
            <w:r w:rsidRPr="00FE6C71">
              <w:t xml:space="preserve"> de branding/rebranding și identitate vizuală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Default="00291C70" w:rsidP="00FC3722">
            <w:r>
              <w:t>242.038 lei (fără TVA)</w:t>
            </w:r>
          </w:p>
        </w:tc>
      </w:tr>
      <w:tr w:rsidR="00291C70" w:rsidTr="00FC3722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Default="00291C70" w:rsidP="00FC3722">
            <w:r>
              <w:t xml:space="preserve">S.C. PUBLIC RESEARCH S.R.L în calitate de Lider al Asocierii S.C. </w:t>
            </w:r>
            <w:r w:rsidRPr="00DB6874">
              <w:t>S.C. PUBLIC RESEARCH S</w:t>
            </w:r>
            <w:r>
              <w:t>.</w:t>
            </w:r>
            <w:r w:rsidRPr="00DB6874">
              <w:t>R</w:t>
            </w:r>
            <w:r>
              <w:t>.</w:t>
            </w:r>
            <w:r w:rsidRPr="00DB6874">
              <w:t>L</w:t>
            </w:r>
            <w:r>
              <w:t xml:space="preserve"> şi S.C. ARGO PROFESSIONAL TRENING S.R.L., în baza Acordului de Asociere în vederea participării la procedura de atribuire a contractului de achiziţie publică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Default="00291C70" w:rsidP="00FC3722">
            <w:r>
              <w:t>Servicii de formare pofesională şi realizare de studii (rapoarte) – lot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Default="00291C70" w:rsidP="00FC3722">
            <w:r>
              <w:t>260.600 lei (fără TVA)</w:t>
            </w:r>
          </w:p>
        </w:tc>
      </w:tr>
      <w:tr w:rsidR="00291C70" w:rsidTr="00FC3722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Default="00291C70" w:rsidP="00FC3722">
            <w:r w:rsidRPr="004E480D">
              <w:t>S.C. AVANGARDE BUSINESS GROUP S.R.L.</w:t>
            </w:r>
          </w:p>
          <w:p w:rsidR="00291C70" w:rsidRDefault="00291C70" w:rsidP="00FC3722"/>
          <w:p w:rsidR="00291C70" w:rsidRDefault="00291C70" w:rsidP="00FC372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Default="00291C70" w:rsidP="00FC3722">
            <w:r>
              <w:t xml:space="preserve">Servicii de organizare programe de formare, conferință internațională, comunități de practică și consultări publice și servicii tipografice și conexe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70" w:rsidRDefault="00291C70" w:rsidP="00FC3722">
            <w:r>
              <w:t>1.428.830 lei (fără TVA)</w:t>
            </w:r>
          </w:p>
        </w:tc>
      </w:tr>
    </w:tbl>
    <w:p w:rsidR="00291C70" w:rsidRDefault="00291C70" w:rsidP="00291C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1C70" w:rsidRDefault="00291C70" w:rsidP="00291C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1C70" w:rsidRDefault="00291C70" w:rsidP="00291C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1C70" w:rsidRDefault="00291C70"/>
    <w:sectPr w:rsidR="00291C70" w:rsidSect="0056402C">
      <w:headerReference w:type="default" r:id="rId9"/>
      <w:footerReference w:type="default" r:id="rId10"/>
      <w:pgSz w:w="12240" w:h="15840"/>
      <w:pgMar w:top="1440" w:right="1440" w:bottom="14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94" w:rsidRDefault="009D6F94" w:rsidP="00D4284B">
      <w:r>
        <w:separator/>
      </w:r>
    </w:p>
  </w:endnote>
  <w:endnote w:type="continuationSeparator" w:id="0">
    <w:p w:rsidR="009D6F94" w:rsidRDefault="009D6F94" w:rsidP="00D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4B" w:rsidRDefault="00D4284B" w:rsidP="00D428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94" w:rsidRDefault="009D6F94" w:rsidP="00D4284B">
      <w:r>
        <w:separator/>
      </w:r>
    </w:p>
  </w:footnote>
  <w:footnote w:type="continuationSeparator" w:id="0">
    <w:p w:rsidR="009D6F94" w:rsidRDefault="009D6F94" w:rsidP="00D4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4B" w:rsidRDefault="00D4284B">
    <w:pPr>
      <w:pStyle w:val="Header"/>
    </w:pPr>
    <w:r>
      <w:rPr>
        <w:noProof/>
      </w:rPr>
      <w:drawing>
        <wp:inline distT="0" distB="0" distL="0" distR="0">
          <wp:extent cx="5913132" cy="633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CA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132" cy="63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84B" w:rsidRDefault="00D42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12A"/>
    <w:multiLevelType w:val="hybridMultilevel"/>
    <w:tmpl w:val="A60C9B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06C97"/>
    <w:multiLevelType w:val="hybridMultilevel"/>
    <w:tmpl w:val="46103A4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B"/>
    <w:rsid w:val="000A0BE8"/>
    <w:rsid w:val="000D35A3"/>
    <w:rsid w:val="001247C1"/>
    <w:rsid w:val="00130563"/>
    <w:rsid w:val="001405E5"/>
    <w:rsid w:val="001B2342"/>
    <w:rsid w:val="001C7398"/>
    <w:rsid w:val="00291C70"/>
    <w:rsid w:val="002A38EB"/>
    <w:rsid w:val="004360CB"/>
    <w:rsid w:val="0056402C"/>
    <w:rsid w:val="0067629D"/>
    <w:rsid w:val="006F3A70"/>
    <w:rsid w:val="007208E7"/>
    <w:rsid w:val="00907827"/>
    <w:rsid w:val="00975653"/>
    <w:rsid w:val="009D0481"/>
    <w:rsid w:val="009D6F94"/>
    <w:rsid w:val="009E7B91"/>
    <w:rsid w:val="00A31BDF"/>
    <w:rsid w:val="00AA05D2"/>
    <w:rsid w:val="00B30FCD"/>
    <w:rsid w:val="00B354AA"/>
    <w:rsid w:val="00B95B76"/>
    <w:rsid w:val="00CD13A3"/>
    <w:rsid w:val="00CD4637"/>
    <w:rsid w:val="00CD4F30"/>
    <w:rsid w:val="00CF6B3C"/>
    <w:rsid w:val="00D4284B"/>
    <w:rsid w:val="00D714A1"/>
    <w:rsid w:val="00E6350C"/>
    <w:rsid w:val="00EF6FA0"/>
    <w:rsid w:val="00F2384D"/>
    <w:rsid w:val="00F27BBD"/>
    <w:rsid w:val="00F60C24"/>
    <w:rsid w:val="00F9621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1B24A0-3864-4966-9886-BC098FB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CB"/>
    <w:pPr>
      <w:spacing w:after="120" w:line="276" w:lineRule="auto"/>
      <w:jc w:val="both"/>
    </w:pPr>
    <w:rPr>
      <w:rFonts w:ascii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Theme="minorHAnsi" w:hAnsiTheme="minorHAnsi" w:cstheme="minorBidi"/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  <w:jc w:val="left"/>
    </w:pPr>
    <w:rPr>
      <w:rFonts w:asciiTheme="minorHAnsi" w:hAnsiTheme="minorHAnsi" w:cstheme="minorBidi"/>
      <w:i/>
      <w:iCs/>
      <w:color w:val="44546A" w:themeColor="text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284B"/>
    <w:pPr>
      <w:tabs>
        <w:tab w:val="center" w:pos="4703"/>
        <w:tab w:val="right" w:pos="9406"/>
      </w:tabs>
      <w:spacing w:after="0" w:line="240" w:lineRule="auto"/>
      <w:jc w:val="left"/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284B"/>
  </w:style>
  <w:style w:type="paragraph" w:styleId="Footer">
    <w:name w:val="footer"/>
    <w:basedOn w:val="Normal"/>
    <w:link w:val="FooterChar"/>
    <w:uiPriority w:val="99"/>
    <w:unhideWhenUsed/>
    <w:rsid w:val="00D4284B"/>
    <w:pPr>
      <w:tabs>
        <w:tab w:val="center" w:pos="4703"/>
        <w:tab w:val="right" w:pos="9406"/>
      </w:tabs>
      <w:spacing w:after="0" w:line="240" w:lineRule="auto"/>
      <w:jc w:val="left"/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284B"/>
  </w:style>
  <w:style w:type="paragraph" w:styleId="BalloonText">
    <w:name w:val="Balloon Text"/>
    <w:basedOn w:val="Normal"/>
    <w:link w:val="BalloonTextChar"/>
    <w:uiPriority w:val="99"/>
    <w:semiHidden/>
    <w:unhideWhenUsed/>
    <w:rsid w:val="00720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uta.spatar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681C7-F19D-4952-BE25-8E0402F9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Spataru</dc:creator>
  <cp:keywords/>
  <dc:description/>
  <cp:lastModifiedBy>Steluta Spataru</cp:lastModifiedBy>
  <cp:revision>2</cp:revision>
  <cp:lastPrinted>2018-11-05T15:02:00Z</cp:lastPrinted>
  <dcterms:created xsi:type="dcterms:W3CDTF">2019-11-14T12:28:00Z</dcterms:created>
  <dcterms:modified xsi:type="dcterms:W3CDTF">2019-11-14T12:28:00Z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